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368DB" w14:textId="12D00C9F" w:rsidR="000E1B60" w:rsidRDefault="000E1B60">
      <w:r>
        <w:rPr>
          <w:rFonts w:ascii="Open Sans" w:hAnsi="Open Sans"/>
          <w:noProof/>
          <w:color w:val="252525"/>
          <w:lang w:val="en"/>
        </w:rPr>
        <w:drawing>
          <wp:anchor distT="0" distB="0" distL="114300" distR="114300" simplePos="0" relativeHeight="251658240" behindDoc="0" locked="0" layoutInCell="1" allowOverlap="1" wp14:anchorId="2C4C098B" wp14:editId="2A596E59">
            <wp:simplePos x="0" y="0"/>
            <wp:positionH relativeFrom="column">
              <wp:posOffset>3905250</wp:posOffset>
            </wp:positionH>
            <wp:positionV relativeFrom="paragraph">
              <wp:posOffset>-38735</wp:posOffset>
            </wp:positionV>
            <wp:extent cx="2638425" cy="778772"/>
            <wp:effectExtent l="0" t="0" r="0" b="2540"/>
            <wp:wrapNone/>
            <wp:docPr id="1" name="Picture 1" descr="logo">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3123" descr="logo">
                      <a:hlinkClick r:id="rId7" tooltip="&quot;&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778772"/>
                    </a:xfrm>
                    <a:prstGeom prst="rect">
                      <a:avLst/>
                    </a:prstGeom>
                    <a:noFill/>
                    <a:ln>
                      <a:noFill/>
                    </a:ln>
                  </pic:spPr>
                </pic:pic>
              </a:graphicData>
            </a:graphic>
          </wp:anchor>
        </w:drawing>
      </w:r>
    </w:p>
    <w:p w14:paraId="6C26ACBC" w14:textId="1DEC521F" w:rsidR="000E1B60" w:rsidRDefault="000E1B60"/>
    <w:p w14:paraId="5CE57710" w14:textId="77777777" w:rsidR="000E1B60" w:rsidRDefault="000E1B60"/>
    <w:p w14:paraId="042A67D1" w14:textId="1E1B3BED" w:rsidR="000E1B60" w:rsidRDefault="00C95892" w:rsidP="000E1B60">
      <w:pPr>
        <w:pStyle w:val="Title"/>
        <w:rPr>
          <w:sz w:val="32"/>
          <w:szCs w:val="32"/>
        </w:rPr>
      </w:pPr>
      <w:r>
        <w:rPr>
          <w:sz w:val="32"/>
          <w:szCs w:val="32"/>
        </w:rPr>
        <w:t xml:space="preserve">Data Protection </w:t>
      </w:r>
      <w:r w:rsidR="000E1B60" w:rsidRPr="000E1B60">
        <w:rPr>
          <w:sz w:val="32"/>
          <w:szCs w:val="32"/>
        </w:rPr>
        <w:t>Policy</w:t>
      </w:r>
    </w:p>
    <w:p w14:paraId="3D10DB05" w14:textId="4AAF2236" w:rsidR="000B2921" w:rsidRDefault="000B2921" w:rsidP="000B2921">
      <w:pPr>
        <w:rPr>
          <w:lang w:eastAsia="en-GB"/>
        </w:rPr>
      </w:pPr>
    </w:p>
    <w:p w14:paraId="343B7705" w14:textId="77777777" w:rsidR="000E1B60" w:rsidRPr="00010E23" w:rsidRDefault="000E1B60" w:rsidP="000E1B60">
      <w:pPr>
        <w:rPr>
          <w:sz w:val="6"/>
          <w:szCs w:val="6"/>
          <w:lang w:eastAsia="en-GB"/>
        </w:rPr>
      </w:pPr>
    </w:p>
    <w:p w14:paraId="69DD63D0" w14:textId="6E57EEAB" w:rsidR="000E1B60" w:rsidRDefault="00180935" w:rsidP="00C02158">
      <w:pPr>
        <w:pStyle w:val="Heading1"/>
        <w:numPr>
          <w:ilvl w:val="0"/>
          <w:numId w:val="0"/>
        </w:numPr>
        <w:rPr>
          <w:sz w:val="32"/>
        </w:rPr>
      </w:pPr>
      <w:r>
        <w:rPr>
          <w:sz w:val="32"/>
        </w:rPr>
        <w:t>Data Protection Principles</w:t>
      </w:r>
    </w:p>
    <w:p w14:paraId="5A92FB02" w14:textId="65EAEF6A" w:rsidR="000E1B60" w:rsidRPr="008B1622" w:rsidRDefault="009D059E" w:rsidP="000E1B60">
      <w:r>
        <w:t xml:space="preserve">The Charity is committed to processing data in accordance with its responsibilities under the GDPR. Article 5 of the GDPR requires that personal data shall be: </w:t>
      </w:r>
    </w:p>
    <w:p w14:paraId="53B46154" w14:textId="66C153B4" w:rsidR="000E1B60" w:rsidRPr="00A058B8" w:rsidRDefault="009D059E" w:rsidP="0078787F">
      <w:pPr>
        <w:pStyle w:val="Textbodybullet"/>
        <w:numPr>
          <w:ilvl w:val="0"/>
          <w:numId w:val="15"/>
        </w:numPr>
        <w:rPr>
          <w:rFonts w:asciiTheme="minorHAnsi" w:hAnsiTheme="minorHAnsi" w:cstheme="minorHAnsi"/>
        </w:rPr>
      </w:pPr>
      <w:r>
        <w:rPr>
          <w:rFonts w:asciiTheme="minorHAnsi" w:hAnsiTheme="minorHAnsi" w:cstheme="minorHAnsi"/>
        </w:rPr>
        <w:t>Processed lawfully, fairly and in a transparent manner in relation to individuals.</w:t>
      </w:r>
    </w:p>
    <w:p w14:paraId="4A06B90B" w14:textId="4E709B0B" w:rsidR="000E1B60" w:rsidRPr="00A058B8" w:rsidRDefault="009D059E" w:rsidP="0078787F">
      <w:pPr>
        <w:pStyle w:val="Textbodybullet"/>
        <w:numPr>
          <w:ilvl w:val="0"/>
          <w:numId w:val="15"/>
        </w:numPr>
        <w:rPr>
          <w:rFonts w:asciiTheme="minorHAnsi" w:hAnsiTheme="minorHAnsi" w:cstheme="minorHAnsi"/>
        </w:rPr>
      </w:pPr>
      <w:r>
        <w:rPr>
          <w:rFonts w:asciiTheme="minorHAnsi" w:hAnsiTheme="minorHAnsi" w:cstheme="minorHAnsi"/>
        </w:rPr>
        <w:t xml:space="preserve">Collected for specific, </w:t>
      </w:r>
      <w:proofErr w:type="gramStart"/>
      <w:r>
        <w:rPr>
          <w:rFonts w:asciiTheme="minorHAnsi" w:hAnsiTheme="minorHAnsi" w:cstheme="minorHAnsi"/>
        </w:rPr>
        <w:t>explicit</w:t>
      </w:r>
      <w:proofErr w:type="gramEnd"/>
      <w:r>
        <w:rPr>
          <w:rFonts w:asciiTheme="minorHAnsi" w:hAnsiTheme="minorHAnsi" w:cstheme="minorHAnsi"/>
        </w:rPr>
        <w:t xml:space="preserve"> and legitimate purposes and nor further processed in a manner that is incompatible with those purposes</w:t>
      </w:r>
      <w:r w:rsidR="00E9179F">
        <w:rPr>
          <w:rFonts w:asciiTheme="minorHAnsi" w:hAnsiTheme="minorHAnsi" w:cstheme="minorHAnsi"/>
        </w:rPr>
        <w:t xml:space="preserve">; further processing for archiving purposes in the public interest, scientific or historical research purposes or statistical purposes shall not be considered to be incompatible with the initial purposes. </w:t>
      </w:r>
    </w:p>
    <w:p w14:paraId="7EF5B98D" w14:textId="064834A3" w:rsidR="000E1B60" w:rsidRPr="00A058B8" w:rsidRDefault="00E9179F" w:rsidP="0078787F">
      <w:pPr>
        <w:pStyle w:val="Textbodybullet"/>
        <w:numPr>
          <w:ilvl w:val="0"/>
          <w:numId w:val="15"/>
        </w:numPr>
        <w:rPr>
          <w:rFonts w:asciiTheme="minorHAnsi" w:hAnsiTheme="minorHAnsi" w:cstheme="minorHAnsi"/>
        </w:rPr>
      </w:pPr>
      <w:r>
        <w:rPr>
          <w:rFonts w:asciiTheme="minorHAnsi" w:hAnsiTheme="minorHAnsi" w:cstheme="minorHAnsi"/>
        </w:rPr>
        <w:t xml:space="preserve">Adequate, </w:t>
      </w:r>
      <w:proofErr w:type="gramStart"/>
      <w:r>
        <w:rPr>
          <w:rFonts w:asciiTheme="minorHAnsi" w:hAnsiTheme="minorHAnsi" w:cstheme="minorHAnsi"/>
        </w:rPr>
        <w:t>relevant</w:t>
      </w:r>
      <w:proofErr w:type="gramEnd"/>
      <w:r>
        <w:rPr>
          <w:rFonts w:asciiTheme="minorHAnsi" w:hAnsiTheme="minorHAnsi" w:cstheme="minorHAnsi"/>
        </w:rPr>
        <w:t xml:space="preserve"> and limited to what is necessary in relation to the purposes for which they are processed. </w:t>
      </w:r>
    </w:p>
    <w:p w14:paraId="33DC5F44" w14:textId="161EE312" w:rsidR="000E1B60" w:rsidRPr="00A058B8" w:rsidRDefault="00E9179F" w:rsidP="0078787F">
      <w:pPr>
        <w:pStyle w:val="Textbodybullet"/>
        <w:numPr>
          <w:ilvl w:val="0"/>
          <w:numId w:val="15"/>
        </w:numPr>
        <w:rPr>
          <w:rFonts w:asciiTheme="minorHAnsi" w:hAnsiTheme="minorHAnsi" w:cstheme="minorHAnsi"/>
        </w:rPr>
      </w:pPr>
      <w:r>
        <w:rPr>
          <w:rFonts w:asciiTheme="minorHAnsi" w:hAnsiTheme="minorHAnsi" w:cstheme="minorHAnsi"/>
        </w:rPr>
        <w:t xml:space="preserve">Accurate and, where necessary, kept up to date; every reasonable step must be taken to ensure that personal data </w:t>
      </w:r>
      <w:r w:rsidR="004D5A22">
        <w:rPr>
          <w:rFonts w:asciiTheme="minorHAnsi" w:hAnsiTheme="minorHAnsi" w:cstheme="minorHAnsi"/>
        </w:rPr>
        <w:t>that are in</w:t>
      </w:r>
      <w:r w:rsidR="00492B7D">
        <w:rPr>
          <w:rFonts w:asciiTheme="minorHAnsi" w:hAnsiTheme="minorHAnsi" w:cstheme="minorHAnsi"/>
        </w:rPr>
        <w:t>accurate</w:t>
      </w:r>
      <w:r w:rsidR="007979AE">
        <w:rPr>
          <w:rFonts w:asciiTheme="minorHAnsi" w:hAnsiTheme="minorHAnsi" w:cstheme="minorHAnsi"/>
        </w:rPr>
        <w:t xml:space="preserve">, having regard to the purposes for which they are processed, are </w:t>
      </w:r>
      <w:proofErr w:type="gramStart"/>
      <w:r w:rsidR="004D5A22">
        <w:rPr>
          <w:rFonts w:asciiTheme="minorHAnsi" w:hAnsiTheme="minorHAnsi" w:cstheme="minorHAnsi"/>
        </w:rPr>
        <w:t>erased</w:t>
      </w:r>
      <w:proofErr w:type="gramEnd"/>
      <w:r w:rsidR="004C09AA">
        <w:rPr>
          <w:rFonts w:asciiTheme="minorHAnsi" w:hAnsiTheme="minorHAnsi" w:cstheme="minorHAnsi"/>
        </w:rPr>
        <w:t xml:space="preserve"> or rectified without delay. </w:t>
      </w:r>
    </w:p>
    <w:p w14:paraId="283F9616" w14:textId="549D6CD4" w:rsidR="000E1B60" w:rsidRPr="00A058B8" w:rsidRDefault="004C09AA" w:rsidP="0078787F">
      <w:pPr>
        <w:pStyle w:val="Textbodybullet"/>
        <w:numPr>
          <w:ilvl w:val="0"/>
          <w:numId w:val="15"/>
        </w:numPr>
        <w:rPr>
          <w:rFonts w:asciiTheme="minorHAnsi" w:hAnsiTheme="minorHAnsi" w:cstheme="minorHAnsi"/>
        </w:rPr>
      </w:pPr>
      <w:r>
        <w:rPr>
          <w:rFonts w:asciiTheme="minorHAnsi" w:hAnsiTheme="minorHAnsi" w:cstheme="minorHAnsi"/>
        </w:rP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w:t>
      </w:r>
    </w:p>
    <w:p w14:paraId="2A6D906D" w14:textId="46BFB88B" w:rsidR="000E1B60" w:rsidRPr="00A058B8" w:rsidRDefault="004C09AA" w:rsidP="0078787F">
      <w:pPr>
        <w:pStyle w:val="Textbodybullet"/>
        <w:numPr>
          <w:ilvl w:val="0"/>
          <w:numId w:val="15"/>
        </w:numPr>
        <w:rPr>
          <w:rFonts w:asciiTheme="minorHAnsi" w:hAnsiTheme="minorHAnsi" w:cstheme="minorHAnsi"/>
        </w:rPr>
      </w:pPr>
      <w:r>
        <w:rPr>
          <w:rFonts w:asciiTheme="minorHAnsi" w:hAnsiTheme="minorHAnsi" w:cstheme="minorHAnsi"/>
        </w:rPr>
        <w:t xml:space="preserve">Processed in a manner that ensures appropriate security of the personal data, including protection against unauthorised or unlawful processing and against accidental loss, </w:t>
      </w:r>
      <w:proofErr w:type="gramStart"/>
      <w:r>
        <w:rPr>
          <w:rFonts w:asciiTheme="minorHAnsi" w:hAnsiTheme="minorHAnsi" w:cstheme="minorHAnsi"/>
        </w:rPr>
        <w:t>destruction</w:t>
      </w:r>
      <w:proofErr w:type="gramEnd"/>
      <w:r>
        <w:rPr>
          <w:rFonts w:asciiTheme="minorHAnsi" w:hAnsiTheme="minorHAnsi" w:cstheme="minorHAnsi"/>
        </w:rPr>
        <w:t xml:space="preserve"> or damage, using appropriate technical or organisational measures. </w:t>
      </w:r>
    </w:p>
    <w:p w14:paraId="60EFE518" w14:textId="77777777" w:rsidR="00A60DA7" w:rsidRDefault="00A60DA7" w:rsidP="00C02158">
      <w:pPr>
        <w:pStyle w:val="Heading1"/>
        <w:numPr>
          <w:ilvl w:val="0"/>
          <w:numId w:val="0"/>
        </w:numPr>
        <w:rPr>
          <w:sz w:val="32"/>
        </w:rPr>
      </w:pPr>
      <w:r>
        <w:rPr>
          <w:sz w:val="32"/>
        </w:rPr>
        <w:t>Definitions</w:t>
      </w:r>
    </w:p>
    <w:p w14:paraId="6C6DEDD0" w14:textId="77777777" w:rsidR="0061279C" w:rsidRDefault="0061279C" w:rsidP="0061279C">
      <w:pPr>
        <w:pStyle w:val="Textbodybullet"/>
        <w:ind w:left="284"/>
        <w:rPr>
          <w:rFonts w:asciiTheme="minorHAnsi" w:hAnsiTheme="minorHAnsi" w:cstheme="minorHAnsi"/>
        </w:rPr>
      </w:pPr>
      <w:r>
        <w:rPr>
          <w:rFonts w:asciiTheme="minorHAnsi" w:hAnsiTheme="minorHAnsi" w:cstheme="minorHAnsi"/>
        </w:rPr>
        <w:t xml:space="preserve">CHARITY means </w:t>
      </w:r>
      <w:proofErr w:type="spellStart"/>
      <w:r>
        <w:rPr>
          <w:rFonts w:asciiTheme="minorHAnsi" w:hAnsiTheme="minorHAnsi" w:cstheme="minorHAnsi"/>
        </w:rPr>
        <w:t>Catisfield</w:t>
      </w:r>
      <w:proofErr w:type="spellEnd"/>
      <w:r>
        <w:rPr>
          <w:rFonts w:asciiTheme="minorHAnsi" w:hAnsiTheme="minorHAnsi" w:cstheme="minorHAnsi"/>
        </w:rPr>
        <w:t xml:space="preserve"> Memorial Hall is a registered </w:t>
      </w:r>
      <w:proofErr w:type="gramStart"/>
      <w:r>
        <w:rPr>
          <w:rFonts w:asciiTheme="minorHAnsi" w:hAnsiTheme="minorHAnsi" w:cstheme="minorHAnsi"/>
        </w:rPr>
        <w:t>charity</w:t>
      </w:r>
      <w:proofErr w:type="gramEnd"/>
    </w:p>
    <w:p w14:paraId="2C923081" w14:textId="77777777" w:rsidR="0061279C" w:rsidRDefault="0061279C" w:rsidP="0061279C">
      <w:pPr>
        <w:pStyle w:val="Textbodybullet"/>
        <w:ind w:left="284"/>
        <w:rPr>
          <w:rFonts w:asciiTheme="minorHAnsi" w:hAnsiTheme="minorHAnsi" w:cstheme="minorHAnsi"/>
        </w:rPr>
      </w:pPr>
      <w:r>
        <w:rPr>
          <w:rFonts w:asciiTheme="minorHAnsi" w:hAnsiTheme="minorHAnsi" w:cstheme="minorHAnsi"/>
        </w:rPr>
        <w:t>GDPR means the General Data Protection Regulation.</w:t>
      </w:r>
    </w:p>
    <w:p w14:paraId="1BC1C749" w14:textId="77777777" w:rsidR="00E819CF" w:rsidRDefault="0061279C" w:rsidP="0061279C">
      <w:pPr>
        <w:pStyle w:val="Textbodybullet"/>
        <w:ind w:left="284"/>
        <w:rPr>
          <w:rFonts w:asciiTheme="minorHAnsi" w:hAnsiTheme="minorHAnsi" w:cstheme="minorHAnsi"/>
        </w:rPr>
      </w:pPr>
      <w:r>
        <w:rPr>
          <w:rFonts w:asciiTheme="minorHAnsi" w:hAnsiTheme="minorHAnsi" w:cstheme="minorHAnsi"/>
        </w:rPr>
        <w:t xml:space="preserve">RESPONSIBLE PERSON means </w:t>
      </w:r>
      <w:r w:rsidR="00E819CF">
        <w:rPr>
          <w:rFonts w:asciiTheme="minorHAnsi" w:hAnsiTheme="minorHAnsi" w:cstheme="minorHAnsi"/>
        </w:rPr>
        <w:t xml:space="preserve">THE CURRENT CHAIRMAN is the person responsible for date protection within the </w:t>
      </w:r>
      <w:proofErr w:type="spellStart"/>
      <w:r w:rsidR="00E819CF">
        <w:rPr>
          <w:rFonts w:asciiTheme="minorHAnsi" w:hAnsiTheme="minorHAnsi" w:cstheme="minorHAnsi"/>
        </w:rPr>
        <w:t>Chairity</w:t>
      </w:r>
      <w:proofErr w:type="spellEnd"/>
      <w:r w:rsidR="00E819CF">
        <w:rPr>
          <w:rFonts w:asciiTheme="minorHAnsi" w:hAnsiTheme="minorHAnsi" w:cstheme="minorHAnsi"/>
        </w:rPr>
        <w:t>.</w:t>
      </w:r>
    </w:p>
    <w:p w14:paraId="79B4BA18" w14:textId="3186D662" w:rsidR="00A60DA7" w:rsidRDefault="00E819CF" w:rsidP="00E819CF">
      <w:pPr>
        <w:pStyle w:val="Textbodybullet"/>
        <w:ind w:left="284"/>
        <w:rPr>
          <w:sz w:val="32"/>
        </w:rPr>
      </w:pPr>
      <w:r>
        <w:rPr>
          <w:rFonts w:asciiTheme="minorHAnsi" w:hAnsiTheme="minorHAnsi" w:cstheme="minorHAnsi"/>
        </w:rPr>
        <w:t>REGISTER OF SYSTEMS means a register of all systems or contexts in which personal data is processed by the Charity.</w:t>
      </w:r>
    </w:p>
    <w:p w14:paraId="707E39EE" w14:textId="6E34C69F" w:rsidR="00C02158" w:rsidRDefault="00C02158" w:rsidP="00C02158">
      <w:pPr>
        <w:pStyle w:val="Heading1"/>
        <w:numPr>
          <w:ilvl w:val="0"/>
          <w:numId w:val="0"/>
        </w:numPr>
        <w:rPr>
          <w:sz w:val="32"/>
        </w:rPr>
      </w:pPr>
      <w:r>
        <w:rPr>
          <w:sz w:val="32"/>
        </w:rPr>
        <w:t xml:space="preserve">General Provisions </w:t>
      </w:r>
    </w:p>
    <w:p w14:paraId="650993B1" w14:textId="77777777" w:rsidR="00C02158" w:rsidRDefault="00C02158" w:rsidP="00C02158">
      <w:pPr>
        <w:pStyle w:val="Textbodybullet"/>
        <w:numPr>
          <w:ilvl w:val="0"/>
          <w:numId w:val="15"/>
        </w:numPr>
        <w:rPr>
          <w:rFonts w:asciiTheme="minorHAnsi" w:hAnsiTheme="minorHAnsi" w:cstheme="minorHAnsi"/>
        </w:rPr>
      </w:pPr>
      <w:r>
        <w:rPr>
          <w:rFonts w:asciiTheme="minorHAnsi" w:hAnsiTheme="minorHAnsi" w:cstheme="minorHAnsi"/>
        </w:rPr>
        <w:t>This policy applies to all personal data processed by the Charity.</w:t>
      </w:r>
    </w:p>
    <w:p w14:paraId="49279AF8" w14:textId="516F173A" w:rsidR="00C02158" w:rsidRDefault="00C02158" w:rsidP="00C02158">
      <w:pPr>
        <w:pStyle w:val="Textbodybullet"/>
        <w:numPr>
          <w:ilvl w:val="0"/>
          <w:numId w:val="15"/>
        </w:numPr>
        <w:rPr>
          <w:rFonts w:asciiTheme="minorHAnsi" w:hAnsiTheme="minorHAnsi" w:cstheme="minorHAnsi"/>
        </w:rPr>
      </w:pPr>
      <w:r>
        <w:rPr>
          <w:rFonts w:asciiTheme="minorHAnsi" w:hAnsiTheme="minorHAnsi" w:cstheme="minorHAnsi"/>
        </w:rPr>
        <w:t>The Responsible Person shall take responsibility for the Charity’s ongoing compliance with this policy.</w:t>
      </w:r>
    </w:p>
    <w:p w14:paraId="30CA06AE" w14:textId="44B54AA8" w:rsidR="00C02158" w:rsidRDefault="00C02158" w:rsidP="00C02158">
      <w:pPr>
        <w:pStyle w:val="Textbodybullet"/>
        <w:numPr>
          <w:ilvl w:val="0"/>
          <w:numId w:val="15"/>
        </w:numPr>
        <w:rPr>
          <w:rFonts w:asciiTheme="minorHAnsi" w:hAnsiTheme="minorHAnsi" w:cstheme="minorHAnsi"/>
        </w:rPr>
      </w:pPr>
      <w:r>
        <w:rPr>
          <w:rFonts w:asciiTheme="minorHAnsi" w:hAnsiTheme="minorHAnsi" w:cstheme="minorHAnsi"/>
        </w:rPr>
        <w:t>This policy shall be reviewed annually.</w:t>
      </w:r>
    </w:p>
    <w:p w14:paraId="22CD82DA" w14:textId="49E045C8" w:rsidR="00C02158" w:rsidRPr="00C02158" w:rsidRDefault="00C02158" w:rsidP="000E1B60">
      <w:pPr>
        <w:pStyle w:val="Textbodybullet"/>
        <w:numPr>
          <w:ilvl w:val="0"/>
          <w:numId w:val="15"/>
        </w:numPr>
        <w:rPr>
          <w:sz w:val="32"/>
        </w:rPr>
      </w:pPr>
      <w:r w:rsidRPr="00C02158">
        <w:rPr>
          <w:rFonts w:asciiTheme="minorHAnsi" w:hAnsiTheme="minorHAnsi" w:cstheme="minorHAnsi"/>
        </w:rPr>
        <w:t xml:space="preserve">The Charity shall register with the Information Commissioner’s Office as an organisation that processes personal data. </w:t>
      </w:r>
    </w:p>
    <w:p w14:paraId="06AC3715" w14:textId="77777777" w:rsidR="00EE6C1F" w:rsidRDefault="00EE6C1F" w:rsidP="00C02158">
      <w:pPr>
        <w:pStyle w:val="Heading1"/>
        <w:numPr>
          <w:ilvl w:val="0"/>
          <w:numId w:val="0"/>
        </w:numPr>
        <w:rPr>
          <w:sz w:val="32"/>
        </w:rPr>
      </w:pPr>
      <w:r>
        <w:rPr>
          <w:sz w:val="32"/>
        </w:rPr>
        <w:lastRenderedPageBreak/>
        <w:t xml:space="preserve">Lawful, </w:t>
      </w:r>
      <w:proofErr w:type="gramStart"/>
      <w:r>
        <w:rPr>
          <w:sz w:val="32"/>
        </w:rPr>
        <w:t>fair</w:t>
      </w:r>
      <w:proofErr w:type="gramEnd"/>
      <w:r>
        <w:rPr>
          <w:sz w:val="32"/>
        </w:rPr>
        <w:t xml:space="preserve"> and transparent processing</w:t>
      </w:r>
    </w:p>
    <w:p w14:paraId="234A3810" w14:textId="77777777" w:rsidR="009317BE" w:rsidRDefault="009317BE" w:rsidP="00EE6C1F">
      <w:pPr>
        <w:pStyle w:val="Textbodybullet"/>
        <w:numPr>
          <w:ilvl w:val="0"/>
          <w:numId w:val="15"/>
        </w:numPr>
        <w:rPr>
          <w:rFonts w:asciiTheme="minorHAnsi" w:hAnsiTheme="minorHAnsi" w:cstheme="minorHAnsi"/>
        </w:rPr>
      </w:pPr>
      <w:r>
        <w:rPr>
          <w:rFonts w:asciiTheme="minorHAnsi" w:hAnsiTheme="minorHAnsi" w:cstheme="minorHAnsi"/>
        </w:rPr>
        <w:t xml:space="preserve">To ensure its processing of data is lawful, </w:t>
      </w:r>
      <w:proofErr w:type="gramStart"/>
      <w:r>
        <w:rPr>
          <w:rFonts w:asciiTheme="minorHAnsi" w:hAnsiTheme="minorHAnsi" w:cstheme="minorHAnsi"/>
        </w:rPr>
        <w:t>fair</w:t>
      </w:r>
      <w:proofErr w:type="gramEnd"/>
      <w:r>
        <w:rPr>
          <w:rFonts w:asciiTheme="minorHAnsi" w:hAnsiTheme="minorHAnsi" w:cstheme="minorHAnsi"/>
        </w:rPr>
        <w:t xml:space="preserve"> and transparent, the Charity shall maintain a Register of Systems.</w:t>
      </w:r>
    </w:p>
    <w:p w14:paraId="556A33C9" w14:textId="7DA0B682" w:rsidR="009317BE" w:rsidRDefault="009317BE" w:rsidP="00EE6C1F">
      <w:pPr>
        <w:pStyle w:val="Textbodybullet"/>
        <w:numPr>
          <w:ilvl w:val="0"/>
          <w:numId w:val="15"/>
        </w:numPr>
        <w:rPr>
          <w:rFonts w:asciiTheme="minorHAnsi" w:hAnsiTheme="minorHAnsi" w:cstheme="minorHAnsi"/>
        </w:rPr>
      </w:pPr>
      <w:r>
        <w:rPr>
          <w:rFonts w:asciiTheme="minorHAnsi" w:hAnsiTheme="minorHAnsi" w:cstheme="minorHAnsi"/>
        </w:rPr>
        <w:t>The Register of Systems shall be reviewed annually.</w:t>
      </w:r>
    </w:p>
    <w:p w14:paraId="19868BCB" w14:textId="3351ED10" w:rsidR="009317BE" w:rsidRDefault="009317BE" w:rsidP="00EE6C1F">
      <w:pPr>
        <w:pStyle w:val="Textbodybullet"/>
        <w:numPr>
          <w:ilvl w:val="0"/>
          <w:numId w:val="15"/>
        </w:numPr>
        <w:rPr>
          <w:rFonts w:asciiTheme="minorHAnsi" w:hAnsiTheme="minorHAnsi" w:cstheme="minorHAnsi"/>
        </w:rPr>
      </w:pPr>
      <w:r>
        <w:rPr>
          <w:rFonts w:asciiTheme="minorHAnsi" w:hAnsiTheme="minorHAnsi" w:cstheme="minorHAnsi"/>
        </w:rPr>
        <w:t xml:space="preserve">Individuals have the right to access their personal data and any such requests made to the charity shall be dealt with in a timely manner. </w:t>
      </w:r>
    </w:p>
    <w:p w14:paraId="37EC38BC" w14:textId="5D3664E4" w:rsidR="009317BE" w:rsidRPr="00A058B8" w:rsidRDefault="009317BE" w:rsidP="009317BE">
      <w:pPr>
        <w:pStyle w:val="Heading1"/>
        <w:numPr>
          <w:ilvl w:val="0"/>
          <w:numId w:val="0"/>
        </w:numPr>
        <w:rPr>
          <w:rFonts w:asciiTheme="minorHAnsi" w:hAnsiTheme="minorHAnsi" w:cstheme="minorHAnsi"/>
        </w:rPr>
      </w:pPr>
      <w:r>
        <w:rPr>
          <w:sz w:val="32"/>
        </w:rPr>
        <w:t>Lawful Purposes</w:t>
      </w:r>
      <w:r>
        <w:rPr>
          <w:rFonts w:asciiTheme="minorHAnsi" w:hAnsiTheme="minorHAnsi" w:cstheme="minorHAnsi"/>
        </w:rPr>
        <w:t xml:space="preserve">. </w:t>
      </w:r>
    </w:p>
    <w:p w14:paraId="269A71D8" w14:textId="77777777" w:rsidR="00190223" w:rsidRDefault="00190223" w:rsidP="00190223">
      <w:pPr>
        <w:pStyle w:val="Textbodybullet"/>
        <w:numPr>
          <w:ilvl w:val="0"/>
          <w:numId w:val="15"/>
        </w:numPr>
        <w:rPr>
          <w:rFonts w:asciiTheme="minorHAnsi" w:hAnsiTheme="minorHAnsi" w:cstheme="minorHAnsi"/>
        </w:rPr>
      </w:pPr>
      <w:r>
        <w:rPr>
          <w:rFonts w:asciiTheme="minorHAnsi" w:hAnsiTheme="minorHAnsi" w:cstheme="minorHAnsi"/>
        </w:rPr>
        <w:t xml:space="preserve">All data processed by the Charity must be done on one of the following lawful bases: consent, contract, legal obligation, vital interests, public </w:t>
      </w:r>
      <w:proofErr w:type="gramStart"/>
      <w:r>
        <w:rPr>
          <w:rFonts w:asciiTheme="minorHAnsi" w:hAnsiTheme="minorHAnsi" w:cstheme="minorHAnsi"/>
        </w:rPr>
        <w:t>task</w:t>
      </w:r>
      <w:proofErr w:type="gramEnd"/>
      <w:r>
        <w:rPr>
          <w:rFonts w:asciiTheme="minorHAnsi" w:hAnsiTheme="minorHAnsi" w:cstheme="minorHAnsi"/>
        </w:rPr>
        <w:t xml:space="preserve"> or legitimate interests.</w:t>
      </w:r>
    </w:p>
    <w:p w14:paraId="395993F9" w14:textId="77777777" w:rsidR="00803585" w:rsidRDefault="00190223" w:rsidP="00190223">
      <w:pPr>
        <w:pStyle w:val="Textbodybullet"/>
        <w:numPr>
          <w:ilvl w:val="0"/>
          <w:numId w:val="15"/>
        </w:numPr>
        <w:rPr>
          <w:rFonts w:asciiTheme="minorHAnsi" w:hAnsiTheme="minorHAnsi" w:cstheme="minorHAnsi"/>
        </w:rPr>
      </w:pPr>
      <w:r>
        <w:rPr>
          <w:rFonts w:asciiTheme="minorHAnsi" w:hAnsiTheme="minorHAnsi" w:cstheme="minorHAnsi"/>
        </w:rPr>
        <w:t>The Charity shall note the appropriate legal basis in the Register of Systems</w:t>
      </w:r>
      <w:r w:rsidR="00803585">
        <w:rPr>
          <w:rFonts w:asciiTheme="minorHAnsi" w:hAnsiTheme="minorHAnsi" w:cstheme="minorHAnsi"/>
        </w:rPr>
        <w:t>.</w:t>
      </w:r>
    </w:p>
    <w:p w14:paraId="24B952F8" w14:textId="77777777" w:rsidR="00E52D23" w:rsidRDefault="00803585" w:rsidP="00190223">
      <w:pPr>
        <w:pStyle w:val="Textbodybullet"/>
        <w:numPr>
          <w:ilvl w:val="0"/>
          <w:numId w:val="15"/>
        </w:numPr>
        <w:rPr>
          <w:rFonts w:asciiTheme="minorHAnsi" w:hAnsiTheme="minorHAnsi" w:cstheme="minorHAnsi"/>
        </w:rPr>
      </w:pPr>
      <w:r>
        <w:rPr>
          <w:rFonts w:asciiTheme="minorHAnsi" w:hAnsiTheme="minorHAnsi" w:cstheme="minorHAnsi"/>
        </w:rPr>
        <w:t xml:space="preserve">Where consent is relied upon as a lawful basis for processing data, evidence of </w:t>
      </w:r>
      <w:r w:rsidR="00E52D23">
        <w:rPr>
          <w:rFonts w:asciiTheme="minorHAnsi" w:hAnsiTheme="minorHAnsi" w:cstheme="minorHAnsi"/>
        </w:rPr>
        <w:t>opt-in consent shall be kept with the personal data.</w:t>
      </w:r>
    </w:p>
    <w:p w14:paraId="217016AF" w14:textId="3F293640" w:rsidR="00E52D23" w:rsidRDefault="00E52D23" w:rsidP="00190223">
      <w:pPr>
        <w:pStyle w:val="Textbodybullet"/>
        <w:numPr>
          <w:ilvl w:val="0"/>
          <w:numId w:val="15"/>
        </w:numPr>
        <w:rPr>
          <w:rFonts w:asciiTheme="minorHAnsi" w:hAnsiTheme="minorHAnsi" w:cstheme="minorHAnsi"/>
        </w:rPr>
      </w:pPr>
      <w:r>
        <w:rPr>
          <w:rFonts w:asciiTheme="minorHAnsi" w:hAnsiTheme="minorHAnsi" w:cstheme="minorHAnsi"/>
        </w:rPr>
        <w:t>Where communications are sent to individuals based on their consent, the option for the individual to revoke their consent should be clearly available and systems should be in place to ensure such revocation is reflected accurately in the Charity’s systems.</w:t>
      </w:r>
    </w:p>
    <w:p w14:paraId="28002B1E" w14:textId="77777777" w:rsidR="00E52D23" w:rsidRDefault="00E52D23" w:rsidP="00C02158">
      <w:pPr>
        <w:pStyle w:val="Heading1"/>
        <w:numPr>
          <w:ilvl w:val="0"/>
          <w:numId w:val="0"/>
        </w:numPr>
        <w:rPr>
          <w:sz w:val="32"/>
        </w:rPr>
      </w:pPr>
      <w:r>
        <w:rPr>
          <w:sz w:val="32"/>
        </w:rPr>
        <w:t>Data Minimisation</w:t>
      </w:r>
    </w:p>
    <w:p w14:paraId="45286ECE" w14:textId="195B29DA" w:rsidR="00E52D23" w:rsidRPr="00A058B8" w:rsidRDefault="00E52D23" w:rsidP="00E52D23">
      <w:pPr>
        <w:pStyle w:val="Textbodybullet"/>
        <w:numPr>
          <w:ilvl w:val="0"/>
          <w:numId w:val="15"/>
        </w:numPr>
        <w:rPr>
          <w:rFonts w:asciiTheme="minorHAnsi" w:hAnsiTheme="minorHAnsi" w:cstheme="minorHAnsi"/>
        </w:rPr>
      </w:pPr>
      <w:r>
        <w:rPr>
          <w:rFonts w:asciiTheme="minorHAnsi" w:hAnsiTheme="minorHAnsi" w:cstheme="minorHAnsi"/>
        </w:rPr>
        <w:t>The Charity shall ensure that personal data</w:t>
      </w:r>
      <w:r w:rsidR="00087463">
        <w:rPr>
          <w:rFonts w:asciiTheme="minorHAnsi" w:hAnsiTheme="minorHAnsi" w:cstheme="minorHAnsi"/>
        </w:rPr>
        <w:t xml:space="preserve"> is adequate, </w:t>
      </w:r>
      <w:proofErr w:type="gramStart"/>
      <w:r w:rsidR="00087463">
        <w:rPr>
          <w:rFonts w:asciiTheme="minorHAnsi" w:hAnsiTheme="minorHAnsi" w:cstheme="minorHAnsi"/>
        </w:rPr>
        <w:t>relevant</w:t>
      </w:r>
      <w:proofErr w:type="gramEnd"/>
      <w:r w:rsidR="00087463">
        <w:rPr>
          <w:rFonts w:asciiTheme="minorHAnsi" w:hAnsiTheme="minorHAnsi" w:cstheme="minorHAnsi"/>
        </w:rPr>
        <w:t xml:space="preserve"> and limited to what is necessary in relation to the purposes for which they are processed. </w:t>
      </w:r>
    </w:p>
    <w:p w14:paraId="4B517318" w14:textId="77777777" w:rsidR="00087463" w:rsidRDefault="00087463" w:rsidP="00C02158">
      <w:pPr>
        <w:pStyle w:val="Heading1"/>
        <w:numPr>
          <w:ilvl w:val="0"/>
          <w:numId w:val="0"/>
        </w:numPr>
        <w:rPr>
          <w:sz w:val="32"/>
        </w:rPr>
      </w:pPr>
      <w:r>
        <w:rPr>
          <w:sz w:val="32"/>
        </w:rPr>
        <w:t>Accuracy</w:t>
      </w:r>
    </w:p>
    <w:p w14:paraId="41E01CC2" w14:textId="77777777" w:rsidR="00087463" w:rsidRDefault="00087463" w:rsidP="00087463">
      <w:pPr>
        <w:pStyle w:val="Textbodybullet"/>
        <w:numPr>
          <w:ilvl w:val="0"/>
          <w:numId w:val="15"/>
        </w:numPr>
        <w:rPr>
          <w:rFonts w:asciiTheme="minorHAnsi" w:hAnsiTheme="minorHAnsi" w:cstheme="minorHAnsi"/>
        </w:rPr>
      </w:pPr>
      <w:r>
        <w:rPr>
          <w:rFonts w:asciiTheme="minorHAnsi" w:hAnsiTheme="minorHAnsi" w:cstheme="minorHAnsi"/>
        </w:rPr>
        <w:t>The Charity shall take responsible steps to ensure personal date is accurate.</w:t>
      </w:r>
    </w:p>
    <w:p w14:paraId="0EE4661F" w14:textId="4E71EF24" w:rsidR="00087463" w:rsidRPr="00A058B8" w:rsidRDefault="00087463" w:rsidP="00087463">
      <w:pPr>
        <w:pStyle w:val="Textbodybullet"/>
        <w:numPr>
          <w:ilvl w:val="0"/>
          <w:numId w:val="15"/>
        </w:numPr>
        <w:rPr>
          <w:rFonts w:asciiTheme="minorHAnsi" w:hAnsiTheme="minorHAnsi" w:cstheme="minorHAnsi"/>
        </w:rPr>
      </w:pPr>
      <w:r>
        <w:rPr>
          <w:rFonts w:asciiTheme="minorHAnsi" w:hAnsiTheme="minorHAnsi" w:cstheme="minorHAnsi"/>
        </w:rPr>
        <w:t xml:space="preserve">Where necessary for the lawful </w:t>
      </w:r>
      <w:r w:rsidR="00844766">
        <w:rPr>
          <w:rFonts w:asciiTheme="minorHAnsi" w:hAnsiTheme="minorHAnsi" w:cstheme="minorHAnsi"/>
        </w:rPr>
        <w:t xml:space="preserve">basis on which data is processed, steps shall be put in place to ensure that personal data is kept up to date. </w:t>
      </w:r>
      <w:r>
        <w:rPr>
          <w:rFonts w:asciiTheme="minorHAnsi" w:hAnsiTheme="minorHAnsi" w:cstheme="minorHAnsi"/>
        </w:rPr>
        <w:t xml:space="preserve"> </w:t>
      </w:r>
    </w:p>
    <w:p w14:paraId="02774E5B" w14:textId="77777777" w:rsidR="005215FD" w:rsidRDefault="005215FD" w:rsidP="00C02158">
      <w:pPr>
        <w:pStyle w:val="Heading1"/>
        <w:numPr>
          <w:ilvl w:val="0"/>
          <w:numId w:val="0"/>
        </w:numPr>
        <w:rPr>
          <w:sz w:val="32"/>
        </w:rPr>
      </w:pPr>
      <w:r>
        <w:rPr>
          <w:sz w:val="32"/>
        </w:rPr>
        <w:t>Archiving/Removal</w:t>
      </w:r>
    </w:p>
    <w:p w14:paraId="426407BB" w14:textId="2DFC3CD3" w:rsidR="005215FD" w:rsidRDefault="005215FD" w:rsidP="005215FD">
      <w:pPr>
        <w:pStyle w:val="Textbodybullet"/>
        <w:numPr>
          <w:ilvl w:val="0"/>
          <w:numId w:val="15"/>
        </w:numPr>
        <w:rPr>
          <w:rFonts w:asciiTheme="minorHAnsi" w:hAnsiTheme="minorHAnsi" w:cstheme="minorHAnsi"/>
        </w:rPr>
      </w:pPr>
      <w:r>
        <w:rPr>
          <w:rFonts w:asciiTheme="minorHAnsi" w:hAnsiTheme="minorHAnsi" w:cstheme="minorHAnsi"/>
        </w:rPr>
        <w:t>To that personal data is kept for no longer than necessary, the Charity shall put in place an archiving policy for each area in which personal data is processed and review this process annually.</w:t>
      </w:r>
    </w:p>
    <w:p w14:paraId="1FF590C9" w14:textId="786AA300" w:rsidR="005215FD" w:rsidRPr="00A058B8" w:rsidRDefault="005215FD" w:rsidP="005215FD">
      <w:pPr>
        <w:pStyle w:val="Textbodybullet"/>
        <w:numPr>
          <w:ilvl w:val="0"/>
          <w:numId w:val="15"/>
        </w:numPr>
        <w:rPr>
          <w:rFonts w:asciiTheme="minorHAnsi" w:hAnsiTheme="minorHAnsi" w:cstheme="minorHAnsi"/>
        </w:rPr>
      </w:pPr>
      <w:r>
        <w:rPr>
          <w:rFonts w:asciiTheme="minorHAnsi" w:hAnsiTheme="minorHAnsi" w:cstheme="minorHAnsi"/>
        </w:rPr>
        <w:t xml:space="preserve">The archiving policy shall consider what data should/must be retained, for how long and why.  </w:t>
      </w:r>
    </w:p>
    <w:p w14:paraId="3B0643A9" w14:textId="77777777" w:rsidR="00B408E6" w:rsidRDefault="00B408E6" w:rsidP="00C02158">
      <w:pPr>
        <w:pStyle w:val="Heading1"/>
        <w:numPr>
          <w:ilvl w:val="0"/>
          <w:numId w:val="0"/>
        </w:numPr>
        <w:rPr>
          <w:sz w:val="32"/>
        </w:rPr>
      </w:pPr>
      <w:r>
        <w:rPr>
          <w:sz w:val="32"/>
        </w:rPr>
        <w:t>Security</w:t>
      </w:r>
    </w:p>
    <w:p w14:paraId="1509D9EF" w14:textId="77777777" w:rsidR="00B408E6" w:rsidRDefault="00B408E6" w:rsidP="00B408E6">
      <w:pPr>
        <w:pStyle w:val="Textbodybullet"/>
        <w:numPr>
          <w:ilvl w:val="0"/>
          <w:numId w:val="15"/>
        </w:numPr>
        <w:rPr>
          <w:rFonts w:asciiTheme="minorHAnsi" w:hAnsiTheme="minorHAnsi" w:cstheme="minorHAnsi"/>
        </w:rPr>
      </w:pPr>
      <w:r>
        <w:rPr>
          <w:rFonts w:asciiTheme="minorHAnsi" w:hAnsiTheme="minorHAnsi" w:cstheme="minorHAnsi"/>
        </w:rPr>
        <w:t>The Charity shall ensure that personal data is stored securely using modern software that is kept up to date.</w:t>
      </w:r>
    </w:p>
    <w:p w14:paraId="0D5EB8DB" w14:textId="05E65D30" w:rsidR="00B408E6" w:rsidRDefault="00B408E6" w:rsidP="00B408E6">
      <w:pPr>
        <w:pStyle w:val="Textbodybullet"/>
        <w:numPr>
          <w:ilvl w:val="0"/>
          <w:numId w:val="15"/>
        </w:numPr>
        <w:rPr>
          <w:rFonts w:asciiTheme="minorHAnsi" w:hAnsiTheme="minorHAnsi" w:cstheme="minorHAnsi"/>
        </w:rPr>
      </w:pPr>
      <w:r>
        <w:rPr>
          <w:rFonts w:asciiTheme="minorHAnsi" w:hAnsiTheme="minorHAnsi" w:cstheme="minorHAnsi"/>
        </w:rPr>
        <w:t>Access to personal data shall be limited to personnel who need access and appropriate security should be in place to avoid unauthorised sharing of information.</w:t>
      </w:r>
    </w:p>
    <w:p w14:paraId="4765F08F" w14:textId="77777777" w:rsidR="00B408E6" w:rsidRDefault="00B408E6" w:rsidP="00B408E6">
      <w:pPr>
        <w:pStyle w:val="Textbodybullet"/>
        <w:numPr>
          <w:ilvl w:val="0"/>
          <w:numId w:val="15"/>
        </w:numPr>
        <w:rPr>
          <w:rFonts w:asciiTheme="minorHAnsi" w:hAnsiTheme="minorHAnsi" w:cstheme="minorHAnsi"/>
        </w:rPr>
      </w:pPr>
      <w:r>
        <w:rPr>
          <w:rFonts w:asciiTheme="minorHAnsi" w:hAnsiTheme="minorHAnsi" w:cstheme="minorHAnsi"/>
        </w:rPr>
        <w:t>When personal data is deleted this should be done safely such that the data is irrecoverable.</w:t>
      </w:r>
    </w:p>
    <w:p w14:paraId="67D23DC4" w14:textId="77777777" w:rsidR="00B408E6" w:rsidRDefault="00B408E6" w:rsidP="00B408E6">
      <w:pPr>
        <w:pStyle w:val="Textbodybullet"/>
        <w:numPr>
          <w:ilvl w:val="0"/>
          <w:numId w:val="15"/>
        </w:numPr>
        <w:rPr>
          <w:rFonts w:asciiTheme="minorHAnsi" w:hAnsiTheme="minorHAnsi" w:cstheme="minorHAnsi"/>
        </w:rPr>
      </w:pPr>
      <w:r>
        <w:rPr>
          <w:rFonts w:asciiTheme="minorHAnsi" w:hAnsiTheme="minorHAnsi" w:cstheme="minorHAnsi"/>
        </w:rPr>
        <w:t xml:space="preserve">Appropriate back up and disaster recovery solutions shall be in place. </w:t>
      </w:r>
    </w:p>
    <w:p w14:paraId="3340881E" w14:textId="77777777" w:rsidR="00145F9E" w:rsidRDefault="00145F9E" w:rsidP="00C02158">
      <w:pPr>
        <w:pStyle w:val="Heading1"/>
        <w:numPr>
          <w:ilvl w:val="0"/>
          <w:numId w:val="0"/>
        </w:numPr>
        <w:rPr>
          <w:sz w:val="32"/>
        </w:rPr>
      </w:pPr>
      <w:r>
        <w:rPr>
          <w:sz w:val="32"/>
        </w:rPr>
        <w:t>Breach</w:t>
      </w:r>
    </w:p>
    <w:p w14:paraId="4E1A6B34" w14:textId="77777777" w:rsidR="00145F9E" w:rsidRDefault="00145F9E" w:rsidP="00145F9E">
      <w:pPr>
        <w:pStyle w:val="Textbodybullet"/>
        <w:ind w:left="644"/>
        <w:rPr>
          <w:rFonts w:asciiTheme="minorHAnsi" w:hAnsiTheme="minorHAnsi" w:cstheme="minorHAnsi"/>
        </w:rPr>
      </w:pPr>
      <w:r>
        <w:rPr>
          <w:rFonts w:asciiTheme="minorHAnsi" w:hAnsiTheme="minorHAnsi" w:cstheme="minorHAnsi"/>
        </w:rPr>
        <w:t>In the event of a breach of security leading to accidental or unlawful destruction, loss, alteration, unauthorised disclosure of, or access to personal data, the Charity shall promptly assess the risk to people’s rights and freedoms and if appropriate report this breach to the ICO.</w:t>
      </w:r>
    </w:p>
    <w:p w14:paraId="1534EF00" w14:textId="3B789FC8" w:rsidR="009569D1" w:rsidRDefault="00A464A3" w:rsidP="009569D1">
      <w:pPr>
        <w:pStyle w:val="Heading1"/>
        <w:numPr>
          <w:ilvl w:val="0"/>
          <w:numId w:val="0"/>
        </w:numPr>
        <w:rPr>
          <w:sz w:val="32"/>
        </w:rPr>
      </w:pPr>
      <w:r>
        <w:rPr>
          <w:sz w:val="32"/>
        </w:rPr>
        <w:lastRenderedPageBreak/>
        <w:t>Appendix 1</w:t>
      </w:r>
    </w:p>
    <w:p w14:paraId="15E17E63" w14:textId="70B2C4CD" w:rsidR="009569D1" w:rsidRDefault="009569D1" w:rsidP="009569D1">
      <w:pPr>
        <w:pStyle w:val="Heading1"/>
        <w:numPr>
          <w:ilvl w:val="0"/>
          <w:numId w:val="0"/>
        </w:numPr>
        <w:rPr>
          <w:sz w:val="32"/>
        </w:rPr>
      </w:pPr>
      <w:r>
        <w:rPr>
          <w:sz w:val="32"/>
        </w:rPr>
        <w:t>Privacy Statement</w:t>
      </w:r>
    </w:p>
    <w:p w14:paraId="643601E6" w14:textId="414ED0C9" w:rsidR="00A464A3" w:rsidRDefault="009569D1" w:rsidP="00A464A3">
      <w:pPr>
        <w:pStyle w:val="Textbodybullet"/>
        <w:rPr>
          <w:rFonts w:asciiTheme="minorHAnsi" w:hAnsiTheme="minorHAnsi" w:cstheme="minorHAnsi"/>
        </w:rPr>
      </w:pPr>
      <w:r>
        <w:rPr>
          <w:rFonts w:asciiTheme="minorHAnsi" w:hAnsiTheme="minorHAnsi" w:cstheme="minorHAnsi"/>
        </w:rPr>
        <w:t>This Privac</w:t>
      </w:r>
      <w:r w:rsidR="00A464A3">
        <w:rPr>
          <w:rFonts w:asciiTheme="minorHAnsi" w:hAnsiTheme="minorHAnsi" w:cstheme="minorHAnsi"/>
        </w:rPr>
        <w:t xml:space="preserve">y Statement applies to the </w:t>
      </w:r>
      <w:proofErr w:type="spellStart"/>
      <w:r w:rsidR="00A464A3">
        <w:rPr>
          <w:rFonts w:asciiTheme="minorHAnsi" w:hAnsiTheme="minorHAnsi" w:cstheme="minorHAnsi"/>
        </w:rPr>
        <w:t>Catisfield</w:t>
      </w:r>
      <w:proofErr w:type="spellEnd"/>
      <w:r w:rsidR="00A464A3">
        <w:rPr>
          <w:rFonts w:asciiTheme="minorHAnsi" w:hAnsiTheme="minorHAnsi" w:cstheme="minorHAnsi"/>
        </w:rPr>
        <w:t xml:space="preserve"> Memorial Hall, Charity Number 301774 and its website and social media pages.  It explains what personal information we collect about you and how we use it. </w:t>
      </w:r>
    </w:p>
    <w:p w14:paraId="4FA93DF1" w14:textId="60B347B0" w:rsidR="0022682B" w:rsidRDefault="0022682B" w:rsidP="0022682B">
      <w:pPr>
        <w:pStyle w:val="Heading1"/>
        <w:numPr>
          <w:ilvl w:val="0"/>
          <w:numId w:val="0"/>
        </w:numPr>
        <w:rPr>
          <w:sz w:val="32"/>
        </w:rPr>
      </w:pPr>
      <w:r>
        <w:rPr>
          <w:sz w:val="32"/>
        </w:rPr>
        <w:t xml:space="preserve">Data Collection </w:t>
      </w:r>
    </w:p>
    <w:p w14:paraId="52696EC4" w14:textId="52D92B45" w:rsidR="0022682B" w:rsidRDefault="0022682B" w:rsidP="0022682B">
      <w:pPr>
        <w:pStyle w:val="BodyText"/>
        <w:rPr>
          <w:lang w:eastAsia="en-GB"/>
        </w:rPr>
      </w:pPr>
      <w:r>
        <w:rPr>
          <w:lang w:eastAsia="en-GB"/>
        </w:rPr>
        <w:t>We collect your personal information when you make enquiries with us, fill out a booking form and when you visit our website or social media pages.</w:t>
      </w:r>
    </w:p>
    <w:p w14:paraId="2CC30C0B" w14:textId="77777777" w:rsidR="0022682B" w:rsidRDefault="0022682B" w:rsidP="0022682B">
      <w:pPr>
        <w:pStyle w:val="Heading1"/>
        <w:numPr>
          <w:ilvl w:val="0"/>
          <w:numId w:val="0"/>
        </w:numPr>
        <w:rPr>
          <w:sz w:val="32"/>
        </w:rPr>
      </w:pPr>
      <w:r>
        <w:rPr>
          <w:sz w:val="32"/>
        </w:rPr>
        <w:t>How we use your information.</w:t>
      </w:r>
    </w:p>
    <w:p w14:paraId="31E0D538" w14:textId="77777777" w:rsidR="00FF2D7D" w:rsidRDefault="00FF2D7D" w:rsidP="00B16425">
      <w:pPr>
        <w:pStyle w:val="BodyText"/>
        <w:rPr>
          <w:lang w:eastAsia="en-GB"/>
        </w:rPr>
      </w:pPr>
      <w:r>
        <w:rPr>
          <w:lang w:eastAsia="en-GB"/>
        </w:rPr>
        <w:t xml:space="preserve">This Privacy Statement tells you what to expect when we collect personal information.  We will make it clear when we collect personal information and will explain what we intend to do with it.  </w:t>
      </w:r>
    </w:p>
    <w:p w14:paraId="7BAC6257" w14:textId="3EF40812" w:rsidR="00E13328" w:rsidRDefault="00FF2D7D" w:rsidP="00B16425">
      <w:pPr>
        <w:pStyle w:val="BodyText"/>
        <w:rPr>
          <w:lang w:eastAsia="en-GB"/>
        </w:rPr>
      </w:pPr>
      <w:r>
        <w:rPr>
          <w:lang w:eastAsia="en-GB"/>
        </w:rPr>
        <w:t>Your pri</w:t>
      </w:r>
      <w:r w:rsidR="00E13328">
        <w:rPr>
          <w:lang w:eastAsia="en-GB"/>
        </w:rPr>
        <w:t xml:space="preserve">vacy is very important to us. We </w:t>
      </w:r>
      <w:r w:rsidR="00E13328">
        <w:rPr>
          <w:b/>
          <w:bCs/>
          <w:lang w:eastAsia="en-GB"/>
        </w:rPr>
        <w:t xml:space="preserve">DO NOT </w:t>
      </w:r>
      <w:r w:rsidR="00E13328">
        <w:rPr>
          <w:lang w:eastAsia="en-GB"/>
        </w:rPr>
        <w:t xml:space="preserve">share your personal information with third parties unless we have your consent, or to comply with a legal obligation.  We </w:t>
      </w:r>
      <w:r w:rsidR="00E13328">
        <w:rPr>
          <w:b/>
          <w:bCs/>
          <w:lang w:eastAsia="en-GB"/>
        </w:rPr>
        <w:t xml:space="preserve">DO </w:t>
      </w:r>
      <w:r w:rsidR="00E13328" w:rsidRPr="00E13328">
        <w:rPr>
          <w:lang w:eastAsia="en-GB"/>
        </w:rPr>
        <w:t>NOT</w:t>
      </w:r>
      <w:r w:rsidR="00E13328">
        <w:rPr>
          <w:lang w:eastAsia="en-GB"/>
        </w:rPr>
        <w:t xml:space="preserve"> use your personal information for marketing purposes. Unless otherwise requested, we will keep data for 2 years after it was last used.</w:t>
      </w:r>
    </w:p>
    <w:p w14:paraId="2CADD442" w14:textId="277180A7" w:rsidR="00E13328" w:rsidRDefault="00E13328" w:rsidP="00E13328">
      <w:pPr>
        <w:pStyle w:val="Heading1"/>
        <w:numPr>
          <w:ilvl w:val="0"/>
          <w:numId w:val="0"/>
        </w:numPr>
        <w:rPr>
          <w:sz w:val="32"/>
        </w:rPr>
      </w:pPr>
      <w:r>
        <w:rPr>
          <w:sz w:val="32"/>
        </w:rPr>
        <w:t>Contact with the Memorial Hall</w:t>
      </w:r>
    </w:p>
    <w:p w14:paraId="3D4B1903" w14:textId="537E3193" w:rsidR="00E13328" w:rsidRDefault="00E13328" w:rsidP="00E13328">
      <w:pPr>
        <w:pStyle w:val="BodyText"/>
        <w:rPr>
          <w:lang w:eastAsia="en-GB"/>
        </w:rPr>
      </w:pPr>
      <w:r>
        <w:rPr>
          <w:lang w:eastAsia="en-GB"/>
        </w:rPr>
        <w:t xml:space="preserve">Information that may be requested and held by </w:t>
      </w:r>
      <w:proofErr w:type="spellStart"/>
      <w:r>
        <w:rPr>
          <w:lang w:eastAsia="en-GB"/>
        </w:rPr>
        <w:t>Catisfield</w:t>
      </w:r>
      <w:proofErr w:type="spellEnd"/>
      <w:r>
        <w:rPr>
          <w:lang w:eastAsia="en-GB"/>
        </w:rPr>
        <w:t xml:space="preserve"> Memorial Hall includes full name and title, postal address, telephone number(s) and email address.  Unless advised otherwise</w:t>
      </w:r>
      <w:r w:rsidR="00BB539D">
        <w:rPr>
          <w:lang w:eastAsia="en-GB"/>
        </w:rPr>
        <w:t xml:space="preserve"> we may use any of this data to contact you regarding all aspects of your booking. The data </w:t>
      </w:r>
      <w:r w:rsidR="00BB539D">
        <w:rPr>
          <w:b/>
          <w:bCs/>
          <w:lang w:eastAsia="en-GB"/>
        </w:rPr>
        <w:t>will not</w:t>
      </w:r>
      <w:r w:rsidR="00BB539D">
        <w:rPr>
          <w:lang w:eastAsia="en-GB"/>
        </w:rPr>
        <w:t xml:space="preserve"> be used for any other purpose without your consent. No other personal data will be requested</w:t>
      </w:r>
      <w:r w:rsidR="00A00848">
        <w:rPr>
          <w:lang w:eastAsia="en-GB"/>
        </w:rPr>
        <w:t xml:space="preserve"> or held by </w:t>
      </w:r>
      <w:proofErr w:type="spellStart"/>
      <w:r w:rsidR="00A00848">
        <w:rPr>
          <w:lang w:eastAsia="en-GB"/>
        </w:rPr>
        <w:t>Catisfield</w:t>
      </w:r>
      <w:proofErr w:type="spellEnd"/>
      <w:r w:rsidR="00A00848">
        <w:rPr>
          <w:lang w:eastAsia="en-GB"/>
        </w:rPr>
        <w:t xml:space="preserve"> Memorial Hall. </w:t>
      </w:r>
    </w:p>
    <w:p w14:paraId="7AB6B0CD" w14:textId="5C93F457" w:rsidR="00C541F4" w:rsidRDefault="00A00848" w:rsidP="0022682B">
      <w:pPr>
        <w:pStyle w:val="Heading1"/>
        <w:numPr>
          <w:ilvl w:val="0"/>
          <w:numId w:val="0"/>
        </w:numPr>
        <w:rPr>
          <w:sz w:val="32"/>
        </w:rPr>
      </w:pPr>
      <w:r>
        <w:rPr>
          <w:sz w:val="32"/>
        </w:rPr>
        <w:t>Website</w:t>
      </w:r>
      <w:r w:rsidR="0022682B">
        <w:rPr>
          <w:sz w:val="32"/>
        </w:rPr>
        <w:t xml:space="preserve"> and online date</w:t>
      </w:r>
    </w:p>
    <w:p w14:paraId="7975C985" w14:textId="5D63B613" w:rsidR="00A00848" w:rsidRDefault="00A00848" w:rsidP="00A00848">
      <w:pPr>
        <w:pStyle w:val="BodyText"/>
        <w:rPr>
          <w:lang w:eastAsia="en-GB"/>
        </w:rPr>
      </w:pPr>
      <w:r>
        <w:rPr>
          <w:lang w:eastAsia="en-GB"/>
        </w:rPr>
        <w:t xml:space="preserve">When someone visits the </w:t>
      </w:r>
      <w:proofErr w:type="spellStart"/>
      <w:r>
        <w:rPr>
          <w:lang w:eastAsia="en-GB"/>
        </w:rPr>
        <w:t>Catisfield</w:t>
      </w:r>
      <w:proofErr w:type="spellEnd"/>
      <w:r>
        <w:rPr>
          <w:lang w:eastAsia="en-GB"/>
        </w:rPr>
        <w:t xml:space="preserve"> Memorial Hall website or its Facebook page, standar</w:t>
      </w:r>
      <w:r w:rsidR="009263A3">
        <w:rPr>
          <w:lang w:eastAsia="en-GB"/>
        </w:rPr>
        <w:t>d internet log information is collected</w:t>
      </w:r>
      <w:r w:rsidR="00405B47">
        <w:rPr>
          <w:lang w:eastAsia="en-GB"/>
        </w:rPr>
        <w:t xml:space="preserve"> plus details of visitor behaviour patterns. We do this to find out things such as the number of visitors to various parts of the site. This information is collected in a way that does not identify users personally. </w:t>
      </w:r>
    </w:p>
    <w:p w14:paraId="07C397A5" w14:textId="77777777" w:rsidR="008B5E5F" w:rsidRDefault="00511B16" w:rsidP="008B5E5F">
      <w:pPr>
        <w:pStyle w:val="BodyText"/>
        <w:rPr>
          <w:sz w:val="32"/>
        </w:rPr>
      </w:pPr>
      <w:r>
        <w:rPr>
          <w:lang w:eastAsia="en-GB"/>
        </w:rPr>
        <w:t xml:space="preserve">We are not responsible for the content or reliability of any linked web sites and do not necessarily endorse the views expressed within them. We cannot guarantee external links will </w:t>
      </w:r>
      <w:proofErr w:type="gramStart"/>
      <w:r>
        <w:rPr>
          <w:lang w:eastAsia="en-GB"/>
        </w:rPr>
        <w:t>work at all times</w:t>
      </w:r>
      <w:proofErr w:type="gramEnd"/>
      <w:r>
        <w:rPr>
          <w:lang w:eastAsia="en-GB"/>
        </w:rPr>
        <w:t xml:space="preserve"> and we have no control over their availability. You should read the privacy statements for all websites you visit. </w:t>
      </w:r>
      <w:r w:rsidR="00C541F4">
        <w:rPr>
          <w:sz w:val="32"/>
        </w:rPr>
        <w:t xml:space="preserve">Your </w:t>
      </w:r>
    </w:p>
    <w:p w14:paraId="2F20B4D6" w14:textId="6A50DDEB" w:rsidR="008B5E5F" w:rsidRDefault="008B5E5F" w:rsidP="008B5E5F">
      <w:pPr>
        <w:pStyle w:val="Heading1"/>
        <w:numPr>
          <w:ilvl w:val="0"/>
          <w:numId w:val="0"/>
        </w:numPr>
        <w:rPr>
          <w:sz w:val="32"/>
        </w:rPr>
      </w:pPr>
      <w:r>
        <w:rPr>
          <w:sz w:val="32"/>
        </w:rPr>
        <w:t xml:space="preserve">Your Rights and </w:t>
      </w:r>
      <w:proofErr w:type="spellStart"/>
      <w:r>
        <w:rPr>
          <w:sz w:val="32"/>
        </w:rPr>
        <w:t>Pesonal</w:t>
      </w:r>
      <w:proofErr w:type="spellEnd"/>
      <w:r>
        <w:rPr>
          <w:sz w:val="32"/>
        </w:rPr>
        <w:t xml:space="preserve"> Data</w:t>
      </w:r>
    </w:p>
    <w:p w14:paraId="25721780" w14:textId="77777777" w:rsidR="008B5E5F" w:rsidRDefault="008B5E5F" w:rsidP="008B5E5F">
      <w:pPr>
        <w:pStyle w:val="BodyText"/>
        <w:rPr>
          <w:lang w:eastAsia="en-GB"/>
        </w:rPr>
      </w:pPr>
      <w:r>
        <w:rPr>
          <w:lang w:eastAsia="en-GB"/>
        </w:rPr>
        <w:t>Unless subject to an exemption under the GDPR, you have the following rights with respect to your personal data:</w:t>
      </w:r>
    </w:p>
    <w:p w14:paraId="34776F5D" w14:textId="77777777" w:rsidR="008B5E5F" w:rsidRDefault="008B5E5F" w:rsidP="008B5E5F">
      <w:pPr>
        <w:pStyle w:val="BodyText"/>
        <w:numPr>
          <w:ilvl w:val="0"/>
          <w:numId w:val="18"/>
        </w:numPr>
        <w:rPr>
          <w:lang w:eastAsia="en-GB"/>
        </w:rPr>
      </w:pPr>
      <w:r>
        <w:rPr>
          <w:lang w:eastAsia="en-GB"/>
        </w:rPr>
        <w:t xml:space="preserve">The right to request a copy of your personal </w:t>
      </w:r>
      <w:proofErr w:type="gramStart"/>
      <w:r>
        <w:rPr>
          <w:lang w:eastAsia="en-GB"/>
        </w:rPr>
        <w:t>data</w:t>
      </w:r>
      <w:proofErr w:type="gramEnd"/>
    </w:p>
    <w:p w14:paraId="44B1D70E" w14:textId="77777777" w:rsidR="008B5E5F" w:rsidRDefault="008B5E5F" w:rsidP="008B5E5F">
      <w:pPr>
        <w:pStyle w:val="BodyText"/>
        <w:numPr>
          <w:ilvl w:val="0"/>
          <w:numId w:val="18"/>
        </w:numPr>
        <w:rPr>
          <w:lang w:eastAsia="en-GB"/>
        </w:rPr>
      </w:pPr>
      <w:r>
        <w:rPr>
          <w:lang w:eastAsia="en-GB"/>
        </w:rPr>
        <w:t xml:space="preserve">The right to request that </w:t>
      </w:r>
      <w:proofErr w:type="spellStart"/>
      <w:r>
        <w:rPr>
          <w:lang w:eastAsia="en-GB"/>
        </w:rPr>
        <w:t>Catisfield</w:t>
      </w:r>
      <w:proofErr w:type="spellEnd"/>
      <w:r>
        <w:rPr>
          <w:lang w:eastAsia="en-GB"/>
        </w:rPr>
        <w:t xml:space="preserve"> Memorial Hall corrects any personal data if found to be inaccurate or out of date.</w:t>
      </w:r>
    </w:p>
    <w:p w14:paraId="294C3069" w14:textId="77777777" w:rsidR="008B5E5F" w:rsidRDefault="008B5E5F" w:rsidP="008B5E5F">
      <w:pPr>
        <w:pStyle w:val="BodyText"/>
        <w:numPr>
          <w:ilvl w:val="0"/>
          <w:numId w:val="18"/>
        </w:numPr>
        <w:rPr>
          <w:lang w:eastAsia="en-GB"/>
        </w:rPr>
      </w:pPr>
      <w:r>
        <w:rPr>
          <w:lang w:eastAsia="en-GB"/>
        </w:rPr>
        <w:t>The right to request your personal data is erased.</w:t>
      </w:r>
    </w:p>
    <w:p w14:paraId="6EA0A9BF" w14:textId="77777777" w:rsidR="008B5E5F" w:rsidRDefault="008B5E5F" w:rsidP="008B5E5F">
      <w:pPr>
        <w:pStyle w:val="BodyText"/>
        <w:numPr>
          <w:ilvl w:val="0"/>
          <w:numId w:val="18"/>
        </w:numPr>
        <w:rPr>
          <w:lang w:eastAsia="en-GB"/>
        </w:rPr>
      </w:pPr>
      <w:r>
        <w:rPr>
          <w:lang w:eastAsia="en-GB"/>
        </w:rPr>
        <w:t>The right to withdraw your consent to the processing at any time.</w:t>
      </w:r>
    </w:p>
    <w:p w14:paraId="54278CA0" w14:textId="77777777" w:rsidR="000A6994" w:rsidRDefault="008B5E5F" w:rsidP="008B5E5F">
      <w:pPr>
        <w:pStyle w:val="BodyText"/>
        <w:numPr>
          <w:ilvl w:val="0"/>
          <w:numId w:val="18"/>
        </w:numPr>
        <w:rPr>
          <w:lang w:eastAsia="en-GB"/>
        </w:rPr>
      </w:pPr>
      <w:r>
        <w:rPr>
          <w:lang w:eastAsia="en-GB"/>
        </w:rPr>
        <w:t xml:space="preserve">The right </w:t>
      </w:r>
      <w:r w:rsidR="00A40366">
        <w:rPr>
          <w:lang w:eastAsia="en-GB"/>
        </w:rPr>
        <w:t xml:space="preserve">where there is a dispute in relation to the accuracy or processing of your personal data, to request a restriction </w:t>
      </w:r>
      <w:r w:rsidR="000A6994">
        <w:rPr>
          <w:lang w:eastAsia="en-GB"/>
        </w:rPr>
        <w:t>is placed on further processing.</w:t>
      </w:r>
    </w:p>
    <w:p w14:paraId="7E6708E7" w14:textId="375E7BC4" w:rsidR="00B16425" w:rsidRPr="008B5E5F" w:rsidRDefault="000A6994" w:rsidP="008B5E5F">
      <w:pPr>
        <w:pStyle w:val="BodyText"/>
        <w:numPr>
          <w:ilvl w:val="0"/>
          <w:numId w:val="18"/>
        </w:numPr>
        <w:rPr>
          <w:lang w:eastAsia="en-GB"/>
        </w:rPr>
      </w:pPr>
      <w:r>
        <w:rPr>
          <w:lang w:eastAsia="en-GB"/>
        </w:rPr>
        <w:t xml:space="preserve">The right to lodge a complaint with the Information </w:t>
      </w:r>
      <w:proofErr w:type="spellStart"/>
      <w:r>
        <w:rPr>
          <w:lang w:eastAsia="en-GB"/>
        </w:rPr>
        <w:t>Commissioners’s</w:t>
      </w:r>
      <w:proofErr w:type="spellEnd"/>
      <w:r>
        <w:rPr>
          <w:lang w:eastAsia="en-GB"/>
        </w:rPr>
        <w:t xml:space="preserve"> Office. </w:t>
      </w:r>
    </w:p>
    <w:p w14:paraId="4C73ECB7" w14:textId="539E3139" w:rsidR="00B16425" w:rsidRDefault="00774DC3" w:rsidP="00B16425">
      <w:pPr>
        <w:pStyle w:val="Heading1"/>
        <w:numPr>
          <w:ilvl w:val="0"/>
          <w:numId w:val="0"/>
        </w:numPr>
        <w:rPr>
          <w:sz w:val="32"/>
        </w:rPr>
      </w:pPr>
      <w:r>
        <w:rPr>
          <w:sz w:val="32"/>
        </w:rPr>
        <w:lastRenderedPageBreak/>
        <w:t>F</w:t>
      </w:r>
      <w:r w:rsidR="00B16425">
        <w:rPr>
          <w:sz w:val="32"/>
        </w:rPr>
        <w:t xml:space="preserve">urther Uses   </w:t>
      </w:r>
    </w:p>
    <w:p w14:paraId="44959958" w14:textId="76D34A7F" w:rsidR="00774DC3" w:rsidRDefault="00774DC3" w:rsidP="00774DC3">
      <w:pPr>
        <w:pStyle w:val="BodyText"/>
        <w:rPr>
          <w:lang w:eastAsia="en-GB"/>
        </w:rPr>
      </w:pPr>
      <w:r>
        <w:rPr>
          <w:lang w:eastAsia="en-GB"/>
        </w:rPr>
        <w:t>If we wish to use your personal data for a new purpose, not covered by this Privacy Statement, then we will provide you with a new statement explaining this new use and setting out the relevant purposes and processing conditions. We will seek your prior consent before using your personal data for a new purpose.</w:t>
      </w:r>
    </w:p>
    <w:p w14:paraId="0437FB12" w14:textId="164D00C0" w:rsidR="00B16425" w:rsidRDefault="00B16425" w:rsidP="00B16425">
      <w:pPr>
        <w:pStyle w:val="Heading1"/>
        <w:numPr>
          <w:ilvl w:val="0"/>
          <w:numId w:val="0"/>
        </w:numPr>
        <w:rPr>
          <w:sz w:val="32"/>
        </w:rPr>
      </w:pPr>
      <w:r>
        <w:rPr>
          <w:sz w:val="32"/>
        </w:rPr>
        <w:t>Contact Details</w:t>
      </w:r>
    </w:p>
    <w:p w14:paraId="209BC845" w14:textId="77777777" w:rsidR="00774DC3" w:rsidRDefault="00774DC3" w:rsidP="00774DC3">
      <w:pPr>
        <w:pStyle w:val="BodyText"/>
        <w:rPr>
          <w:lang w:eastAsia="en-GB"/>
        </w:rPr>
      </w:pPr>
      <w:r>
        <w:rPr>
          <w:lang w:eastAsia="en-GB"/>
        </w:rPr>
        <w:t xml:space="preserve">For all enquiries or complaints please, in the first instance, contact the Booking Secretary at </w:t>
      </w:r>
      <w:hyperlink r:id="rId9" w:history="1">
        <w:r w:rsidRPr="000007B4">
          <w:rPr>
            <w:rStyle w:val="Hyperlink"/>
            <w:lang w:eastAsia="en-GB"/>
          </w:rPr>
          <w:t>bookings.cmh@gmail.com</w:t>
        </w:r>
      </w:hyperlink>
      <w:r>
        <w:rPr>
          <w:lang w:eastAsia="en-GB"/>
        </w:rPr>
        <w:t xml:space="preserve"> or 07379 0f51822.  Data protection complaints or issues will be dealt with by the Chair of </w:t>
      </w:r>
      <w:proofErr w:type="spellStart"/>
      <w:r>
        <w:rPr>
          <w:lang w:eastAsia="en-GB"/>
        </w:rPr>
        <w:t>Catisfield</w:t>
      </w:r>
      <w:proofErr w:type="spellEnd"/>
      <w:r>
        <w:rPr>
          <w:lang w:eastAsia="en-GB"/>
        </w:rPr>
        <w:t xml:space="preserve"> Memorial Hall Trustees.</w:t>
      </w:r>
    </w:p>
    <w:p w14:paraId="0DC913DF" w14:textId="77777777" w:rsidR="00702CC7" w:rsidRDefault="00774DC3" w:rsidP="00774DC3">
      <w:pPr>
        <w:pStyle w:val="BodyText"/>
        <w:rPr>
          <w:lang w:eastAsia="en-GB"/>
        </w:rPr>
      </w:pPr>
      <w:r>
        <w:rPr>
          <w:lang w:eastAsia="en-GB"/>
        </w:rPr>
        <w:t xml:space="preserve">You can contact the Information Commissioner’s Office on 0303 123 1113 or via </w:t>
      </w:r>
      <w:r w:rsidR="00702CC7">
        <w:rPr>
          <w:lang w:eastAsia="en-GB"/>
        </w:rPr>
        <w:t xml:space="preserve">internet at </w:t>
      </w:r>
      <w:r>
        <w:rPr>
          <w:lang w:eastAsia="en-GB"/>
        </w:rPr>
        <w:t xml:space="preserve"> </w:t>
      </w:r>
      <w:hyperlink r:id="rId10" w:history="1">
        <w:r w:rsidR="00702CC7" w:rsidRPr="000007B4">
          <w:rPr>
            <w:rStyle w:val="Hyperlink"/>
            <w:lang w:eastAsia="en-GB"/>
          </w:rPr>
          <w:t>https://ico.org.ukk/global/contact-us/email</w:t>
        </w:r>
      </w:hyperlink>
      <w:r w:rsidR="00702CC7">
        <w:rPr>
          <w:lang w:eastAsia="en-GB"/>
        </w:rPr>
        <w:t xml:space="preserve"> or by post at the Information Commissioner’s Office, Wycliffe House, Water Lane, Wilmslow, Cheshire SK9 5AF</w:t>
      </w:r>
    </w:p>
    <w:p w14:paraId="22DDCE78" w14:textId="480A2943" w:rsidR="00774DC3" w:rsidRDefault="00774DC3" w:rsidP="00774DC3">
      <w:pPr>
        <w:pStyle w:val="BodyText"/>
        <w:rPr>
          <w:lang w:eastAsia="en-GB"/>
        </w:rPr>
      </w:pPr>
    </w:p>
    <w:p w14:paraId="7D385350" w14:textId="77C1ACE1" w:rsidR="00B16425" w:rsidRPr="00B16425" w:rsidRDefault="00B16425" w:rsidP="00B16425">
      <w:pPr>
        <w:pStyle w:val="BodyText"/>
        <w:rPr>
          <w:lang w:eastAsia="en-GB"/>
        </w:rPr>
      </w:pPr>
    </w:p>
    <w:p w14:paraId="705DD453" w14:textId="5AA76152" w:rsidR="0022682B" w:rsidRDefault="0022682B" w:rsidP="0022682B">
      <w:pPr>
        <w:pStyle w:val="BodyText"/>
        <w:rPr>
          <w:lang w:eastAsia="en-GB"/>
        </w:rPr>
      </w:pPr>
    </w:p>
    <w:p w14:paraId="624D79A7" w14:textId="77777777" w:rsidR="0022682B" w:rsidRDefault="0022682B" w:rsidP="0022682B">
      <w:pPr>
        <w:pStyle w:val="BodyText"/>
        <w:rPr>
          <w:lang w:eastAsia="en-GB"/>
        </w:rPr>
      </w:pPr>
    </w:p>
    <w:p w14:paraId="07AC8F88" w14:textId="0F43588B" w:rsidR="00A464A3" w:rsidRDefault="00A464A3">
      <w:pPr>
        <w:rPr>
          <w:rFonts w:eastAsia="Arial Unicode MS" w:cstheme="minorHAnsi"/>
          <w:kern w:val="1"/>
          <w:szCs w:val="24"/>
          <w:lang w:eastAsia="en-GB"/>
        </w:rPr>
      </w:pPr>
      <w:r>
        <w:rPr>
          <w:rFonts w:cstheme="minorHAnsi"/>
        </w:rPr>
        <w:br w:type="page"/>
      </w:r>
    </w:p>
    <w:p w14:paraId="42729870" w14:textId="013F57D5" w:rsidR="00A464A3" w:rsidRDefault="00A464A3" w:rsidP="00A464A3">
      <w:pPr>
        <w:pStyle w:val="Textbodybullet"/>
        <w:rPr>
          <w:rFonts w:cstheme="minorHAnsi"/>
        </w:rPr>
      </w:pPr>
    </w:p>
    <w:p w14:paraId="54132D3D" w14:textId="2B08AE44" w:rsidR="000E1B60" w:rsidRPr="008B1622" w:rsidRDefault="000E1B60" w:rsidP="000E1B60">
      <w:pPr>
        <w:pStyle w:val="Heading"/>
        <w:jc w:val="center"/>
        <w:rPr>
          <w:bCs/>
          <w:color w:val="FFFFFF"/>
          <w:sz w:val="20"/>
          <w:szCs w:val="20"/>
        </w:rPr>
      </w:pPr>
      <w:r w:rsidRPr="008B1622">
        <w:t>Change Record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55"/>
        <w:gridCol w:w="1506"/>
        <w:gridCol w:w="6661"/>
      </w:tblGrid>
      <w:tr w:rsidR="000E1B60" w:rsidRPr="00871A46" w14:paraId="1567B942" w14:textId="77777777" w:rsidTr="00084DD2">
        <w:tc>
          <w:tcPr>
            <w:tcW w:w="1755" w:type="dxa"/>
            <w:tcBorders>
              <w:top w:val="single" w:sz="8" w:space="0" w:color="000000"/>
              <w:left w:val="single" w:sz="8" w:space="0" w:color="000000"/>
              <w:bottom w:val="single" w:sz="4" w:space="0" w:color="000000"/>
            </w:tcBorders>
            <w:shd w:val="clear" w:color="auto" w:fill="579D1C"/>
          </w:tcPr>
          <w:p w14:paraId="7EBB66BB" w14:textId="77777777" w:rsidR="000E1B60" w:rsidRPr="00871A46" w:rsidRDefault="000E1B60" w:rsidP="00084DD2">
            <w:pPr>
              <w:pStyle w:val="TableContents"/>
              <w:spacing w:before="0"/>
              <w:jc w:val="center"/>
              <w:rPr>
                <w:b/>
                <w:color w:val="FFFFFF" w:themeColor="background1"/>
                <w:sz w:val="20"/>
                <w:szCs w:val="20"/>
              </w:rPr>
            </w:pPr>
            <w:r w:rsidRPr="00871A46">
              <w:rPr>
                <w:b/>
                <w:color w:val="FFFFFF" w:themeColor="background1"/>
                <w:sz w:val="20"/>
                <w:szCs w:val="20"/>
              </w:rPr>
              <w:t>Date of Change:</w:t>
            </w:r>
          </w:p>
        </w:tc>
        <w:tc>
          <w:tcPr>
            <w:tcW w:w="1506" w:type="dxa"/>
            <w:tcBorders>
              <w:top w:val="single" w:sz="8" w:space="0" w:color="000000"/>
              <w:left w:val="single" w:sz="4" w:space="0" w:color="000000"/>
              <w:bottom w:val="single" w:sz="4" w:space="0" w:color="000000"/>
            </w:tcBorders>
            <w:shd w:val="clear" w:color="auto" w:fill="579D1C"/>
          </w:tcPr>
          <w:p w14:paraId="76611183" w14:textId="77777777" w:rsidR="000E1B60" w:rsidRPr="00871A46" w:rsidRDefault="000E1B60" w:rsidP="00084DD2">
            <w:pPr>
              <w:pStyle w:val="TableContents"/>
              <w:spacing w:before="0"/>
              <w:jc w:val="center"/>
              <w:rPr>
                <w:b/>
                <w:color w:val="FFFFFF" w:themeColor="background1"/>
                <w:sz w:val="20"/>
                <w:szCs w:val="20"/>
              </w:rPr>
            </w:pPr>
            <w:r w:rsidRPr="00871A46">
              <w:rPr>
                <w:b/>
                <w:color w:val="FFFFFF" w:themeColor="background1"/>
                <w:sz w:val="20"/>
                <w:szCs w:val="20"/>
              </w:rPr>
              <w:t>Changed By:</w:t>
            </w:r>
          </w:p>
        </w:tc>
        <w:tc>
          <w:tcPr>
            <w:tcW w:w="6661" w:type="dxa"/>
            <w:tcBorders>
              <w:top w:val="single" w:sz="8" w:space="0" w:color="000000"/>
              <w:left w:val="single" w:sz="4" w:space="0" w:color="000000"/>
              <w:bottom w:val="single" w:sz="4" w:space="0" w:color="000000"/>
              <w:right w:val="single" w:sz="8" w:space="0" w:color="000000"/>
            </w:tcBorders>
            <w:shd w:val="clear" w:color="auto" w:fill="579D1C"/>
          </w:tcPr>
          <w:p w14:paraId="04E9B8EB" w14:textId="77777777" w:rsidR="000E1B60" w:rsidRPr="00871A46" w:rsidRDefault="000E1B60" w:rsidP="00084DD2">
            <w:pPr>
              <w:pStyle w:val="TableContents"/>
              <w:spacing w:before="0"/>
              <w:rPr>
                <w:b/>
                <w:color w:val="FFFFFF" w:themeColor="background1"/>
                <w:sz w:val="20"/>
                <w:szCs w:val="20"/>
              </w:rPr>
            </w:pPr>
            <w:r w:rsidRPr="00871A46">
              <w:rPr>
                <w:b/>
                <w:color w:val="FFFFFF" w:themeColor="background1"/>
                <w:sz w:val="20"/>
                <w:szCs w:val="20"/>
              </w:rPr>
              <w:t>Comments:</w:t>
            </w:r>
          </w:p>
        </w:tc>
      </w:tr>
      <w:tr w:rsidR="000E1B60" w:rsidRPr="008B1622" w14:paraId="28A401A1" w14:textId="77777777" w:rsidTr="00084DD2">
        <w:tc>
          <w:tcPr>
            <w:tcW w:w="1755" w:type="dxa"/>
            <w:tcBorders>
              <w:left w:val="single" w:sz="8" w:space="0" w:color="000000"/>
              <w:bottom w:val="single" w:sz="4" w:space="0" w:color="000000"/>
            </w:tcBorders>
            <w:shd w:val="clear" w:color="auto" w:fill="auto"/>
          </w:tcPr>
          <w:p w14:paraId="473AE10F" w14:textId="37268CD6" w:rsidR="000E1B60" w:rsidRPr="008B1622" w:rsidRDefault="004C1161" w:rsidP="00084DD2">
            <w:pPr>
              <w:pStyle w:val="TableContents"/>
              <w:jc w:val="center"/>
            </w:pPr>
            <w:r>
              <w:t>21</w:t>
            </w:r>
            <w:r w:rsidRPr="004C1161">
              <w:rPr>
                <w:vertAlign w:val="superscript"/>
              </w:rPr>
              <w:t>st</w:t>
            </w:r>
            <w:r>
              <w:t xml:space="preserve"> March 2019</w:t>
            </w:r>
          </w:p>
        </w:tc>
        <w:tc>
          <w:tcPr>
            <w:tcW w:w="1506" w:type="dxa"/>
            <w:tcBorders>
              <w:left w:val="single" w:sz="4" w:space="0" w:color="000000"/>
              <w:bottom w:val="single" w:sz="4" w:space="0" w:color="000000"/>
            </w:tcBorders>
            <w:shd w:val="clear" w:color="auto" w:fill="auto"/>
          </w:tcPr>
          <w:p w14:paraId="38D8CC40" w14:textId="3C8B4B1D" w:rsidR="000E1B60" w:rsidRPr="008B1622" w:rsidRDefault="004C1161" w:rsidP="00084DD2">
            <w:pPr>
              <w:pStyle w:val="TableContents"/>
              <w:jc w:val="center"/>
            </w:pPr>
            <w:r>
              <w:t>THL</w:t>
            </w:r>
          </w:p>
        </w:tc>
        <w:tc>
          <w:tcPr>
            <w:tcW w:w="6661" w:type="dxa"/>
            <w:tcBorders>
              <w:left w:val="single" w:sz="4" w:space="0" w:color="000000"/>
              <w:bottom w:val="single" w:sz="4" w:space="0" w:color="000000"/>
              <w:right w:val="single" w:sz="8" w:space="0" w:color="000000"/>
            </w:tcBorders>
            <w:shd w:val="clear" w:color="auto" w:fill="auto"/>
          </w:tcPr>
          <w:p w14:paraId="702077E2" w14:textId="3E23AB10" w:rsidR="000E1B60" w:rsidRPr="008B1622" w:rsidRDefault="000E1B60" w:rsidP="00084DD2">
            <w:pPr>
              <w:pStyle w:val="TableContents"/>
            </w:pPr>
            <w:r w:rsidRPr="008B1622">
              <w:t>Policy approved by the Trustees</w:t>
            </w:r>
            <w:r w:rsidR="004C1161">
              <w:t xml:space="preserve"> and adopted</w:t>
            </w:r>
          </w:p>
        </w:tc>
      </w:tr>
      <w:tr w:rsidR="000E1B60" w:rsidRPr="008B1622" w14:paraId="49FDD0FA" w14:textId="77777777" w:rsidTr="00084DD2">
        <w:tc>
          <w:tcPr>
            <w:tcW w:w="1755" w:type="dxa"/>
            <w:tcBorders>
              <w:left w:val="single" w:sz="8" w:space="0" w:color="000000"/>
              <w:bottom w:val="single" w:sz="4" w:space="0" w:color="000000"/>
            </w:tcBorders>
            <w:shd w:val="clear" w:color="auto" w:fill="auto"/>
          </w:tcPr>
          <w:p w14:paraId="36DF3FF3" w14:textId="77777777" w:rsidR="000E1B60" w:rsidRPr="008B1622" w:rsidRDefault="000E1B60" w:rsidP="00084DD2">
            <w:pPr>
              <w:pStyle w:val="TableContents"/>
              <w:jc w:val="center"/>
            </w:pPr>
          </w:p>
        </w:tc>
        <w:tc>
          <w:tcPr>
            <w:tcW w:w="1506" w:type="dxa"/>
            <w:tcBorders>
              <w:left w:val="single" w:sz="4" w:space="0" w:color="000000"/>
              <w:bottom w:val="single" w:sz="4" w:space="0" w:color="000000"/>
            </w:tcBorders>
            <w:shd w:val="clear" w:color="auto" w:fill="auto"/>
          </w:tcPr>
          <w:p w14:paraId="2DA52B8A" w14:textId="77777777" w:rsidR="000E1B60" w:rsidRPr="008B1622" w:rsidRDefault="000E1B60" w:rsidP="00084DD2">
            <w:pPr>
              <w:pStyle w:val="TableContents"/>
              <w:jc w:val="center"/>
            </w:pPr>
          </w:p>
        </w:tc>
        <w:tc>
          <w:tcPr>
            <w:tcW w:w="6661" w:type="dxa"/>
            <w:tcBorders>
              <w:left w:val="single" w:sz="4" w:space="0" w:color="000000"/>
              <w:bottom w:val="single" w:sz="4" w:space="0" w:color="000000"/>
              <w:right w:val="single" w:sz="8" w:space="0" w:color="000000"/>
            </w:tcBorders>
            <w:shd w:val="clear" w:color="auto" w:fill="auto"/>
          </w:tcPr>
          <w:p w14:paraId="348413F1" w14:textId="77777777" w:rsidR="000E1B60" w:rsidRPr="008B1622" w:rsidRDefault="000E1B60" w:rsidP="00084DD2">
            <w:pPr>
              <w:pStyle w:val="TableContents"/>
            </w:pPr>
          </w:p>
        </w:tc>
      </w:tr>
      <w:tr w:rsidR="000E1B60" w:rsidRPr="008B1622" w14:paraId="691A8349" w14:textId="77777777" w:rsidTr="00084DD2">
        <w:tc>
          <w:tcPr>
            <w:tcW w:w="1755" w:type="dxa"/>
            <w:tcBorders>
              <w:left w:val="single" w:sz="8" w:space="0" w:color="000000"/>
              <w:bottom w:val="single" w:sz="4" w:space="0" w:color="000000"/>
            </w:tcBorders>
            <w:shd w:val="clear" w:color="auto" w:fill="auto"/>
          </w:tcPr>
          <w:p w14:paraId="2946EB27" w14:textId="77777777" w:rsidR="000E1B60" w:rsidRPr="008B1622" w:rsidRDefault="000E1B60" w:rsidP="00084DD2">
            <w:pPr>
              <w:pStyle w:val="TableContents"/>
              <w:jc w:val="center"/>
            </w:pPr>
          </w:p>
        </w:tc>
        <w:tc>
          <w:tcPr>
            <w:tcW w:w="1506" w:type="dxa"/>
            <w:tcBorders>
              <w:left w:val="single" w:sz="4" w:space="0" w:color="000000"/>
              <w:bottom w:val="single" w:sz="4" w:space="0" w:color="000000"/>
            </w:tcBorders>
            <w:shd w:val="clear" w:color="auto" w:fill="auto"/>
          </w:tcPr>
          <w:p w14:paraId="20B7F2F7" w14:textId="77777777" w:rsidR="000E1B60" w:rsidRPr="008B1622" w:rsidRDefault="000E1B60" w:rsidP="00084DD2">
            <w:pPr>
              <w:pStyle w:val="TableContents"/>
              <w:jc w:val="center"/>
            </w:pPr>
          </w:p>
        </w:tc>
        <w:tc>
          <w:tcPr>
            <w:tcW w:w="6661" w:type="dxa"/>
            <w:tcBorders>
              <w:left w:val="single" w:sz="4" w:space="0" w:color="000000"/>
              <w:bottom w:val="single" w:sz="4" w:space="0" w:color="000000"/>
              <w:right w:val="single" w:sz="8" w:space="0" w:color="000000"/>
            </w:tcBorders>
            <w:shd w:val="clear" w:color="auto" w:fill="auto"/>
          </w:tcPr>
          <w:p w14:paraId="4BF09F42" w14:textId="77777777" w:rsidR="000E1B60" w:rsidRPr="008B1622" w:rsidRDefault="000E1B60" w:rsidP="00084DD2">
            <w:pPr>
              <w:pStyle w:val="TableContents"/>
            </w:pPr>
          </w:p>
        </w:tc>
      </w:tr>
      <w:tr w:rsidR="000E1B60" w:rsidRPr="008B1622" w14:paraId="0E275382" w14:textId="77777777" w:rsidTr="00084DD2">
        <w:tc>
          <w:tcPr>
            <w:tcW w:w="1755" w:type="dxa"/>
            <w:tcBorders>
              <w:left w:val="single" w:sz="8" w:space="0" w:color="000000"/>
              <w:bottom w:val="single" w:sz="8" w:space="0" w:color="000000"/>
            </w:tcBorders>
            <w:shd w:val="clear" w:color="auto" w:fill="auto"/>
          </w:tcPr>
          <w:p w14:paraId="392B7F55" w14:textId="77777777" w:rsidR="000E1B60" w:rsidRPr="008B1622" w:rsidRDefault="000E1B60" w:rsidP="00084DD2">
            <w:pPr>
              <w:pStyle w:val="TableContents"/>
              <w:jc w:val="center"/>
            </w:pPr>
          </w:p>
        </w:tc>
        <w:tc>
          <w:tcPr>
            <w:tcW w:w="1506" w:type="dxa"/>
            <w:tcBorders>
              <w:left w:val="single" w:sz="4" w:space="0" w:color="000000"/>
              <w:bottom w:val="single" w:sz="8" w:space="0" w:color="000000"/>
            </w:tcBorders>
            <w:shd w:val="clear" w:color="auto" w:fill="auto"/>
          </w:tcPr>
          <w:p w14:paraId="54C0A45D" w14:textId="77777777" w:rsidR="000E1B60" w:rsidRPr="008B1622" w:rsidRDefault="000E1B60"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7D6E5E5F" w14:textId="77777777" w:rsidR="000E1B60" w:rsidRPr="008B1622" w:rsidRDefault="000E1B60" w:rsidP="00084DD2">
            <w:pPr>
              <w:pStyle w:val="TableContents"/>
            </w:pPr>
          </w:p>
        </w:tc>
      </w:tr>
      <w:tr w:rsidR="006B7ABD" w:rsidRPr="008B1622" w14:paraId="71FFE676" w14:textId="77777777" w:rsidTr="006B7ABD">
        <w:tc>
          <w:tcPr>
            <w:tcW w:w="1755" w:type="dxa"/>
            <w:tcBorders>
              <w:left w:val="single" w:sz="8" w:space="0" w:color="000000"/>
              <w:bottom w:val="single" w:sz="8" w:space="0" w:color="000000"/>
            </w:tcBorders>
            <w:shd w:val="clear" w:color="auto" w:fill="auto"/>
          </w:tcPr>
          <w:p w14:paraId="3B5F56E4"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53954271"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2022CC2F" w14:textId="77777777" w:rsidR="006B7ABD" w:rsidRPr="008B1622" w:rsidRDefault="006B7ABD" w:rsidP="00084DD2">
            <w:pPr>
              <w:pStyle w:val="TableContents"/>
            </w:pPr>
          </w:p>
        </w:tc>
      </w:tr>
      <w:tr w:rsidR="006B7ABD" w:rsidRPr="008B1622" w14:paraId="7F70AFDF" w14:textId="77777777" w:rsidTr="006B7ABD">
        <w:tc>
          <w:tcPr>
            <w:tcW w:w="1755" w:type="dxa"/>
            <w:tcBorders>
              <w:left w:val="single" w:sz="8" w:space="0" w:color="000000"/>
              <w:bottom w:val="single" w:sz="8" w:space="0" w:color="000000"/>
            </w:tcBorders>
            <w:shd w:val="clear" w:color="auto" w:fill="auto"/>
          </w:tcPr>
          <w:p w14:paraId="01393056"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0A000346"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D8A5877" w14:textId="77777777" w:rsidR="006B7ABD" w:rsidRPr="008B1622" w:rsidRDefault="006B7ABD" w:rsidP="00084DD2">
            <w:pPr>
              <w:pStyle w:val="TableContents"/>
            </w:pPr>
          </w:p>
        </w:tc>
      </w:tr>
      <w:tr w:rsidR="006B7ABD" w:rsidRPr="008B1622" w14:paraId="42CAC822" w14:textId="77777777" w:rsidTr="006B7ABD">
        <w:tc>
          <w:tcPr>
            <w:tcW w:w="1755" w:type="dxa"/>
            <w:tcBorders>
              <w:left w:val="single" w:sz="8" w:space="0" w:color="000000"/>
              <w:bottom w:val="single" w:sz="8" w:space="0" w:color="000000"/>
            </w:tcBorders>
            <w:shd w:val="clear" w:color="auto" w:fill="auto"/>
          </w:tcPr>
          <w:p w14:paraId="2117F00E"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2E610E3F"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5C6C5376" w14:textId="77777777" w:rsidR="006B7ABD" w:rsidRPr="008B1622" w:rsidRDefault="006B7ABD" w:rsidP="00084DD2">
            <w:pPr>
              <w:pStyle w:val="TableContents"/>
            </w:pPr>
          </w:p>
        </w:tc>
      </w:tr>
      <w:tr w:rsidR="006B7ABD" w:rsidRPr="008B1622" w14:paraId="6E74B6B4" w14:textId="77777777" w:rsidTr="006B7ABD">
        <w:tc>
          <w:tcPr>
            <w:tcW w:w="1755" w:type="dxa"/>
            <w:tcBorders>
              <w:left w:val="single" w:sz="8" w:space="0" w:color="000000"/>
              <w:bottom w:val="single" w:sz="8" w:space="0" w:color="000000"/>
            </w:tcBorders>
            <w:shd w:val="clear" w:color="auto" w:fill="auto"/>
          </w:tcPr>
          <w:p w14:paraId="786C9A43"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7966FB57"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7EC5344F" w14:textId="77777777" w:rsidR="006B7ABD" w:rsidRPr="008B1622" w:rsidRDefault="006B7ABD" w:rsidP="00084DD2">
            <w:pPr>
              <w:pStyle w:val="TableContents"/>
            </w:pPr>
          </w:p>
        </w:tc>
      </w:tr>
      <w:tr w:rsidR="006B7ABD" w:rsidRPr="008B1622" w14:paraId="3B9773B8" w14:textId="77777777" w:rsidTr="006B7ABD">
        <w:tc>
          <w:tcPr>
            <w:tcW w:w="1755" w:type="dxa"/>
            <w:tcBorders>
              <w:left w:val="single" w:sz="8" w:space="0" w:color="000000"/>
              <w:bottom w:val="single" w:sz="8" w:space="0" w:color="000000"/>
            </w:tcBorders>
            <w:shd w:val="clear" w:color="auto" w:fill="auto"/>
          </w:tcPr>
          <w:p w14:paraId="0E9208E9"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136C8D51"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6761885" w14:textId="77777777" w:rsidR="006B7ABD" w:rsidRPr="008B1622" w:rsidRDefault="006B7ABD" w:rsidP="00084DD2">
            <w:pPr>
              <w:pStyle w:val="TableContents"/>
            </w:pPr>
          </w:p>
        </w:tc>
      </w:tr>
      <w:tr w:rsidR="006B7ABD" w:rsidRPr="008B1622" w14:paraId="4848601A" w14:textId="77777777" w:rsidTr="006B7ABD">
        <w:tc>
          <w:tcPr>
            <w:tcW w:w="1755" w:type="dxa"/>
            <w:tcBorders>
              <w:left w:val="single" w:sz="8" w:space="0" w:color="000000"/>
              <w:bottom w:val="single" w:sz="8" w:space="0" w:color="000000"/>
            </w:tcBorders>
            <w:shd w:val="clear" w:color="auto" w:fill="auto"/>
          </w:tcPr>
          <w:p w14:paraId="3C3F25AC"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5D950A6E"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9BDFAB9" w14:textId="77777777" w:rsidR="006B7ABD" w:rsidRPr="008B1622" w:rsidRDefault="006B7ABD" w:rsidP="00084DD2">
            <w:pPr>
              <w:pStyle w:val="TableContents"/>
            </w:pPr>
          </w:p>
        </w:tc>
      </w:tr>
      <w:tr w:rsidR="006B7ABD" w:rsidRPr="008B1622" w14:paraId="561F1B24" w14:textId="77777777" w:rsidTr="006B7ABD">
        <w:tc>
          <w:tcPr>
            <w:tcW w:w="1755" w:type="dxa"/>
            <w:tcBorders>
              <w:left w:val="single" w:sz="8" w:space="0" w:color="000000"/>
              <w:bottom w:val="single" w:sz="8" w:space="0" w:color="000000"/>
            </w:tcBorders>
            <w:shd w:val="clear" w:color="auto" w:fill="auto"/>
          </w:tcPr>
          <w:p w14:paraId="1B9B9792"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3B127283"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DBFE774" w14:textId="77777777" w:rsidR="006B7ABD" w:rsidRPr="008B1622" w:rsidRDefault="006B7ABD" w:rsidP="00084DD2">
            <w:pPr>
              <w:pStyle w:val="TableContents"/>
            </w:pPr>
          </w:p>
        </w:tc>
      </w:tr>
      <w:tr w:rsidR="006B7ABD" w:rsidRPr="008B1622" w14:paraId="460D4951" w14:textId="77777777" w:rsidTr="006B7ABD">
        <w:tc>
          <w:tcPr>
            <w:tcW w:w="1755" w:type="dxa"/>
            <w:tcBorders>
              <w:left w:val="single" w:sz="8" w:space="0" w:color="000000"/>
              <w:bottom w:val="single" w:sz="8" w:space="0" w:color="000000"/>
            </w:tcBorders>
            <w:shd w:val="clear" w:color="auto" w:fill="auto"/>
          </w:tcPr>
          <w:p w14:paraId="0261114B"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60E11C39"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7049678" w14:textId="77777777" w:rsidR="006B7ABD" w:rsidRPr="008B1622" w:rsidRDefault="006B7ABD" w:rsidP="00084DD2">
            <w:pPr>
              <w:pStyle w:val="TableContents"/>
            </w:pPr>
          </w:p>
        </w:tc>
      </w:tr>
      <w:tr w:rsidR="006B7ABD" w:rsidRPr="008B1622" w14:paraId="3C558294" w14:textId="77777777" w:rsidTr="006B7ABD">
        <w:tc>
          <w:tcPr>
            <w:tcW w:w="1755" w:type="dxa"/>
            <w:tcBorders>
              <w:left w:val="single" w:sz="8" w:space="0" w:color="000000"/>
              <w:bottom w:val="single" w:sz="8" w:space="0" w:color="000000"/>
            </w:tcBorders>
            <w:shd w:val="clear" w:color="auto" w:fill="auto"/>
          </w:tcPr>
          <w:p w14:paraId="06C28C75"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70932AC9"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58DD4965" w14:textId="77777777" w:rsidR="006B7ABD" w:rsidRPr="008B1622" w:rsidRDefault="006B7ABD" w:rsidP="00084DD2">
            <w:pPr>
              <w:pStyle w:val="TableContents"/>
            </w:pPr>
          </w:p>
        </w:tc>
      </w:tr>
      <w:tr w:rsidR="006B7ABD" w:rsidRPr="008B1622" w14:paraId="5B0C8DE5" w14:textId="77777777" w:rsidTr="006B7ABD">
        <w:tc>
          <w:tcPr>
            <w:tcW w:w="1755" w:type="dxa"/>
            <w:tcBorders>
              <w:left w:val="single" w:sz="8" w:space="0" w:color="000000"/>
              <w:bottom w:val="single" w:sz="8" w:space="0" w:color="000000"/>
            </w:tcBorders>
            <w:shd w:val="clear" w:color="auto" w:fill="auto"/>
          </w:tcPr>
          <w:p w14:paraId="377F4E45"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29EA7320"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224F6619" w14:textId="77777777" w:rsidR="006B7ABD" w:rsidRPr="008B1622" w:rsidRDefault="006B7ABD" w:rsidP="00084DD2">
            <w:pPr>
              <w:pStyle w:val="TableContents"/>
            </w:pPr>
          </w:p>
        </w:tc>
      </w:tr>
      <w:tr w:rsidR="006B7ABD" w:rsidRPr="008B1622" w14:paraId="5A788C46" w14:textId="77777777" w:rsidTr="006B7ABD">
        <w:tc>
          <w:tcPr>
            <w:tcW w:w="1755" w:type="dxa"/>
            <w:tcBorders>
              <w:left w:val="single" w:sz="8" w:space="0" w:color="000000"/>
              <w:bottom w:val="single" w:sz="8" w:space="0" w:color="000000"/>
            </w:tcBorders>
            <w:shd w:val="clear" w:color="auto" w:fill="auto"/>
          </w:tcPr>
          <w:p w14:paraId="0BAC689B"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7035B0B0"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56C83A7C" w14:textId="77777777" w:rsidR="006B7ABD" w:rsidRPr="008B1622" w:rsidRDefault="006B7ABD" w:rsidP="00084DD2">
            <w:pPr>
              <w:pStyle w:val="TableContents"/>
            </w:pPr>
          </w:p>
        </w:tc>
      </w:tr>
      <w:tr w:rsidR="006B7ABD" w:rsidRPr="008B1622" w14:paraId="3DF0BD1C" w14:textId="77777777" w:rsidTr="006B7ABD">
        <w:tc>
          <w:tcPr>
            <w:tcW w:w="1755" w:type="dxa"/>
            <w:tcBorders>
              <w:left w:val="single" w:sz="8" w:space="0" w:color="000000"/>
              <w:bottom w:val="single" w:sz="8" w:space="0" w:color="000000"/>
            </w:tcBorders>
            <w:shd w:val="clear" w:color="auto" w:fill="auto"/>
          </w:tcPr>
          <w:p w14:paraId="5DAA427A"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67C5357C"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13A1B6DB" w14:textId="77777777" w:rsidR="006B7ABD" w:rsidRPr="008B1622" w:rsidRDefault="006B7ABD" w:rsidP="00084DD2">
            <w:pPr>
              <w:pStyle w:val="TableContents"/>
            </w:pPr>
          </w:p>
        </w:tc>
      </w:tr>
      <w:tr w:rsidR="006B7ABD" w:rsidRPr="008B1622" w14:paraId="43A6CC75" w14:textId="77777777" w:rsidTr="006B7ABD">
        <w:tc>
          <w:tcPr>
            <w:tcW w:w="1755" w:type="dxa"/>
            <w:tcBorders>
              <w:left w:val="single" w:sz="8" w:space="0" w:color="000000"/>
              <w:bottom w:val="single" w:sz="8" w:space="0" w:color="000000"/>
            </w:tcBorders>
            <w:shd w:val="clear" w:color="auto" w:fill="auto"/>
          </w:tcPr>
          <w:p w14:paraId="5793B4EF"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589125E4"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53677956" w14:textId="77777777" w:rsidR="006B7ABD" w:rsidRPr="008B1622" w:rsidRDefault="006B7ABD" w:rsidP="00084DD2">
            <w:pPr>
              <w:pStyle w:val="TableContents"/>
            </w:pPr>
          </w:p>
        </w:tc>
      </w:tr>
      <w:tr w:rsidR="006B7ABD" w:rsidRPr="008B1622" w14:paraId="4F5D26AC" w14:textId="77777777" w:rsidTr="006B7ABD">
        <w:tc>
          <w:tcPr>
            <w:tcW w:w="1755" w:type="dxa"/>
            <w:tcBorders>
              <w:left w:val="single" w:sz="8" w:space="0" w:color="000000"/>
              <w:bottom w:val="single" w:sz="8" w:space="0" w:color="000000"/>
            </w:tcBorders>
            <w:shd w:val="clear" w:color="auto" w:fill="auto"/>
          </w:tcPr>
          <w:p w14:paraId="70FE73C6"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6CAC79E0"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2FCC6576" w14:textId="77777777" w:rsidR="006B7ABD" w:rsidRPr="008B1622" w:rsidRDefault="006B7ABD" w:rsidP="00084DD2">
            <w:pPr>
              <w:pStyle w:val="TableContents"/>
            </w:pPr>
          </w:p>
        </w:tc>
      </w:tr>
      <w:tr w:rsidR="006B7ABD" w:rsidRPr="008B1622" w14:paraId="63328EBE" w14:textId="77777777" w:rsidTr="006B7ABD">
        <w:tc>
          <w:tcPr>
            <w:tcW w:w="1755" w:type="dxa"/>
            <w:tcBorders>
              <w:left w:val="single" w:sz="8" w:space="0" w:color="000000"/>
              <w:bottom w:val="single" w:sz="8" w:space="0" w:color="000000"/>
            </w:tcBorders>
            <w:shd w:val="clear" w:color="auto" w:fill="auto"/>
          </w:tcPr>
          <w:p w14:paraId="43A18746"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26CF6CC3"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7E8C30A1" w14:textId="77777777" w:rsidR="006B7ABD" w:rsidRPr="008B1622" w:rsidRDefault="006B7ABD" w:rsidP="00084DD2">
            <w:pPr>
              <w:pStyle w:val="TableContents"/>
            </w:pPr>
          </w:p>
        </w:tc>
      </w:tr>
      <w:tr w:rsidR="006B7ABD" w:rsidRPr="008B1622" w14:paraId="526A16CF" w14:textId="77777777" w:rsidTr="006B7ABD">
        <w:tc>
          <w:tcPr>
            <w:tcW w:w="1755" w:type="dxa"/>
            <w:tcBorders>
              <w:left w:val="single" w:sz="8" w:space="0" w:color="000000"/>
              <w:bottom w:val="single" w:sz="8" w:space="0" w:color="000000"/>
            </w:tcBorders>
            <w:shd w:val="clear" w:color="auto" w:fill="auto"/>
          </w:tcPr>
          <w:p w14:paraId="259AEB69"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4345F38F"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6D9D9BAC" w14:textId="77777777" w:rsidR="006B7ABD" w:rsidRPr="008B1622" w:rsidRDefault="006B7ABD" w:rsidP="00084DD2">
            <w:pPr>
              <w:pStyle w:val="TableContents"/>
            </w:pPr>
          </w:p>
        </w:tc>
      </w:tr>
      <w:tr w:rsidR="006B7ABD" w:rsidRPr="008B1622" w14:paraId="0FAF1267" w14:textId="77777777" w:rsidTr="006B7ABD">
        <w:tc>
          <w:tcPr>
            <w:tcW w:w="1755" w:type="dxa"/>
            <w:tcBorders>
              <w:left w:val="single" w:sz="8" w:space="0" w:color="000000"/>
              <w:bottom w:val="single" w:sz="8" w:space="0" w:color="000000"/>
            </w:tcBorders>
            <w:shd w:val="clear" w:color="auto" w:fill="auto"/>
          </w:tcPr>
          <w:p w14:paraId="4AF9F0D2"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71987829"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0146AEDD" w14:textId="77777777" w:rsidR="006B7ABD" w:rsidRPr="008B1622" w:rsidRDefault="006B7ABD" w:rsidP="00084DD2">
            <w:pPr>
              <w:pStyle w:val="TableContents"/>
            </w:pPr>
          </w:p>
        </w:tc>
      </w:tr>
      <w:tr w:rsidR="006B7ABD" w:rsidRPr="008B1622" w14:paraId="48AA7E72" w14:textId="77777777" w:rsidTr="006B7ABD">
        <w:tc>
          <w:tcPr>
            <w:tcW w:w="1755" w:type="dxa"/>
            <w:tcBorders>
              <w:left w:val="single" w:sz="8" w:space="0" w:color="000000"/>
              <w:bottom w:val="single" w:sz="8" w:space="0" w:color="000000"/>
            </w:tcBorders>
            <w:shd w:val="clear" w:color="auto" w:fill="auto"/>
          </w:tcPr>
          <w:p w14:paraId="4A61C326"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238863F5"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426F7363" w14:textId="77777777" w:rsidR="006B7ABD" w:rsidRPr="008B1622" w:rsidRDefault="006B7ABD" w:rsidP="00084DD2">
            <w:pPr>
              <w:pStyle w:val="TableContents"/>
            </w:pPr>
          </w:p>
        </w:tc>
      </w:tr>
      <w:tr w:rsidR="006B7ABD" w:rsidRPr="008B1622" w14:paraId="3E21FE84" w14:textId="77777777" w:rsidTr="006B7ABD">
        <w:tc>
          <w:tcPr>
            <w:tcW w:w="1755" w:type="dxa"/>
            <w:tcBorders>
              <w:left w:val="single" w:sz="8" w:space="0" w:color="000000"/>
              <w:bottom w:val="single" w:sz="8" w:space="0" w:color="000000"/>
            </w:tcBorders>
            <w:shd w:val="clear" w:color="auto" w:fill="auto"/>
          </w:tcPr>
          <w:p w14:paraId="4FC1C151"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57221B76"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5284724E" w14:textId="77777777" w:rsidR="006B7ABD" w:rsidRPr="008B1622" w:rsidRDefault="006B7ABD" w:rsidP="00084DD2">
            <w:pPr>
              <w:pStyle w:val="TableContents"/>
            </w:pPr>
          </w:p>
        </w:tc>
      </w:tr>
      <w:tr w:rsidR="006B7ABD" w:rsidRPr="008B1622" w14:paraId="6A1EDB5B" w14:textId="77777777" w:rsidTr="006B7ABD">
        <w:tc>
          <w:tcPr>
            <w:tcW w:w="1755" w:type="dxa"/>
            <w:tcBorders>
              <w:left w:val="single" w:sz="8" w:space="0" w:color="000000"/>
              <w:bottom w:val="single" w:sz="8" w:space="0" w:color="000000"/>
            </w:tcBorders>
            <w:shd w:val="clear" w:color="auto" w:fill="auto"/>
          </w:tcPr>
          <w:p w14:paraId="392DE22C"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304A921E"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37D46476" w14:textId="77777777" w:rsidR="006B7ABD" w:rsidRPr="008B1622" w:rsidRDefault="006B7ABD" w:rsidP="00084DD2">
            <w:pPr>
              <w:pStyle w:val="TableContents"/>
            </w:pPr>
          </w:p>
        </w:tc>
      </w:tr>
      <w:tr w:rsidR="006B7ABD" w:rsidRPr="008B1622" w14:paraId="20242CD4" w14:textId="77777777" w:rsidTr="006B7ABD">
        <w:tc>
          <w:tcPr>
            <w:tcW w:w="1755" w:type="dxa"/>
            <w:tcBorders>
              <w:left w:val="single" w:sz="8" w:space="0" w:color="000000"/>
              <w:bottom w:val="single" w:sz="8" w:space="0" w:color="000000"/>
            </w:tcBorders>
            <w:shd w:val="clear" w:color="auto" w:fill="auto"/>
          </w:tcPr>
          <w:p w14:paraId="3CD21FC1" w14:textId="77777777" w:rsidR="006B7ABD" w:rsidRPr="008B1622" w:rsidRDefault="006B7ABD" w:rsidP="00084DD2">
            <w:pPr>
              <w:pStyle w:val="TableContents"/>
              <w:jc w:val="center"/>
            </w:pPr>
          </w:p>
        </w:tc>
        <w:tc>
          <w:tcPr>
            <w:tcW w:w="1506" w:type="dxa"/>
            <w:tcBorders>
              <w:left w:val="single" w:sz="4" w:space="0" w:color="000000"/>
              <w:bottom w:val="single" w:sz="8" w:space="0" w:color="000000"/>
            </w:tcBorders>
            <w:shd w:val="clear" w:color="auto" w:fill="auto"/>
          </w:tcPr>
          <w:p w14:paraId="641905F4" w14:textId="77777777" w:rsidR="006B7ABD" w:rsidRPr="008B1622" w:rsidRDefault="006B7ABD" w:rsidP="00084DD2">
            <w:pPr>
              <w:pStyle w:val="TableContents"/>
              <w:jc w:val="center"/>
            </w:pPr>
          </w:p>
        </w:tc>
        <w:tc>
          <w:tcPr>
            <w:tcW w:w="6661" w:type="dxa"/>
            <w:tcBorders>
              <w:left w:val="single" w:sz="4" w:space="0" w:color="000000"/>
              <w:bottom w:val="single" w:sz="8" w:space="0" w:color="000000"/>
              <w:right w:val="single" w:sz="8" w:space="0" w:color="000000"/>
            </w:tcBorders>
            <w:shd w:val="clear" w:color="auto" w:fill="auto"/>
          </w:tcPr>
          <w:p w14:paraId="2F064F7D" w14:textId="77777777" w:rsidR="006B7ABD" w:rsidRPr="008B1622" w:rsidRDefault="006B7ABD" w:rsidP="00084DD2">
            <w:pPr>
              <w:pStyle w:val="TableContents"/>
            </w:pPr>
          </w:p>
        </w:tc>
      </w:tr>
    </w:tbl>
    <w:p w14:paraId="5DAE21ED" w14:textId="70FBB838" w:rsidR="008D0122" w:rsidRDefault="008D0122" w:rsidP="004C1161">
      <w:pPr>
        <w:rPr>
          <w:lang w:eastAsia="en-GB"/>
        </w:rPr>
      </w:pPr>
    </w:p>
    <w:sectPr w:rsidR="008D0122" w:rsidSect="0078787F">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7924E" w14:textId="77777777" w:rsidR="00571FEA" w:rsidRDefault="00571FEA" w:rsidP="00010E23">
      <w:pPr>
        <w:spacing w:after="0" w:line="240" w:lineRule="auto"/>
      </w:pPr>
      <w:r>
        <w:separator/>
      </w:r>
    </w:p>
  </w:endnote>
  <w:endnote w:type="continuationSeparator" w:id="0">
    <w:p w14:paraId="11846BD2" w14:textId="77777777" w:rsidR="00571FEA" w:rsidRDefault="00571FEA" w:rsidP="00010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3029807"/>
      <w:docPartObj>
        <w:docPartGallery w:val="Page Numbers (Bottom of Page)"/>
        <w:docPartUnique/>
      </w:docPartObj>
    </w:sdtPr>
    <w:sdtEndPr>
      <w:rPr>
        <w:color w:val="7F7F7F" w:themeColor="background1" w:themeShade="7F"/>
        <w:spacing w:val="60"/>
      </w:rPr>
    </w:sdtEndPr>
    <w:sdtContent>
      <w:p w14:paraId="5323746D" w14:textId="4B6207E2" w:rsidR="00010E23" w:rsidRDefault="00010E2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F7972C0" w14:textId="77777777" w:rsidR="00010E23" w:rsidRDefault="00010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657D54" w14:textId="77777777" w:rsidR="00571FEA" w:rsidRDefault="00571FEA" w:rsidP="00010E23">
      <w:pPr>
        <w:spacing w:after="0" w:line="240" w:lineRule="auto"/>
      </w:pPr>
      <w:r>
        <w:separator/>
      </w:r>
    </w:p>
  </w:footnote>
  <w:footnote w:type="continuationSeparator" w:id="0">
    <w:p w14:paraId="5A63F299" w14:textId="77777777" w:rsidR="00571FEA" w:rsidRDefault="00571FEA" w:rsidP="00010E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6CA1F8C"/>
    <w:lvl w:ilvl="0">
      <w:start w:val="1"/>
      <w:numFmt w:val="bullet"/>
      <w:pStyle w:val="Heading1"/>
      <w:lvlText w:val=""/>
      <w:lvlJc w:val="left"/>
      <w:pPr>
        <w:tabs>
          <w:tab w:val="num" w:pos="864"/>
        </w:tabs>
        <w:ind w:left="864" w:hanging="432"/>
      </w:pPr>
      <w:rPr>
        <w:rFonts w:ascii="Wingdings" w:hAnsi="Wingdings" w:cs="OpenSymbol" w:hint="default"/>
        <w:color w:val="009900"/>
        <w:sz w:val="24"/>
      </w:rPr>
    </w:lvl>
    <w:lvl w:ilvl="1">
      <w:start w:val="1"/>
      <w:numFmt w:val="none"/>
      <w:pStyle w:val="Heading2"/>
      <w:suff w:val="nothing"/>
      <w:lvlText w:val=""/>
      <w:lvlJc w:val="left"/>
      <w:pPr>
        <w:tabs>
          <w:tab w:val="num" w:pos="1008"/>
        </w:tabs>
        <w:ind w:left="1008" w:hanging="576"/>
      </w:pPr>
    </w:lvl>
    <w:lvl w:ilvl="2">
      <w:start w:val="1"/>
      <w:numFmt w:val="none"/>
      <w:pStyle w:val="Heading3"/>
      <w:suff w:val="nothing"/>
      <w:lvlText w:val=""/>
      <w:lvlJc w:val="left"/>
      <w:pPr>
        <w:tabs>
          <w:tab w:val="num" w:pos="1152"/>
        </w:tabs>
        <w:ind w:left="1152" w:hanging="720"/>
      </w:pPr>
    </w:lvl>
    <w:lvl w:ilvl="3">
      <w:start w:val="1"/>
      <w:numFmt w:val="none"/>
      <w:suff w:val="nothing"/>
      <w:lvlText w:val=""/>
      <w:lvlJc w:val="left"/>
      <w:pPr>
        <w:tabs>
          <w:tab w:val="num" w:pos="1296"/>
        </w:tabs>
        <w:ind w:left="1296" w:hanging="864"/>
      </w:pPr>
    </w:lvl>
    <w:lvl w:ilvl="4">
      <w:start w:val="1"/>
      <w:numFmt w:val="none"/>
      <w:suff w:val="nothing"/>
      <w:lvlText w:val=""/>
      <w:lvlJc w:val="left"/>
      <w:pPr>
        <w:tabs>
          <w:tab w:val="num" w:pos="1440"/>
        </w:tabs>
        <w:ind w:left="1440" w:hanging="1008"/>
      </w:pPr>
    </w:lvl>
    <w:lvl w:ilvl="5">
      <w:start w:val="1"/>
      <w:numFmt w:val="none"/>
      <w:suff w:val="nothing"/>
      <w:lvlText w:val=""/>
      <w:lvlJc w:val="left"/>
      <w:pPr>
        <w:tabs>
          <w:tab w:val="num" w:pos="1584"/>
        </w:tabs>
        <w:ind w:left="1584" w:hanging="1152"/>
      </w:pPr>
    </w:lvl>
    <w:lvl w:ilvl="6">
      <w:start w:val="1"/>
      <w:numFmt w:val="none"/>
      <w:suff w:val="nothing"/>
      <w:lvlText w:val=""/>
      <w:lvlJc w:val="left"/>
      <w:pPr>
        <w:tabs>
          <w:tab w:val="num" w:pos="1728"/>
        </w:tabs>
        <w:ind w:left="1728" w:hanging="1296"/>
      </w:pPr>
    </w:lvl>
    <w:lvl w:ilvl="7">
      <w:start w:val="1"/>
      <w:numFmt w:val="none"/>
      <w:suff w:val="nothing"/>
      <w:lvlText w:val=""/>
      <w:lvlJc w:val="left"/>
      <w:pPr>
        <w:tabs>
          <w:tab w:val="num" w:pos="1872"/>
        </w:tabs>
        <w:ind w:left="1872" w:hanging="1440"/>
      </w:pPr>
    </w:lvl>
    <w:lvl w:ilvl="8">
      <w:start w:val="1"/>
      <w:numFmt w:val="none"/>
      <w:suff w:val="nothing"/>
      <w:lvlText w:val=""/>
      <w:lvlJc w:val="left"/>
      <w:pPr>
        <w:tabs>
          <w:tab w:val="num" w:pos="2016"/>
        </w:tabs>
        <w:ind w:left="2016" w:hanging="1584"/>
      </w:pPr>
    </w:lvl>
  </w:abstractNum>
  <w:abstractNum w:abstractNumId="1" w15:restartNumberingAfterBreak="0">
    <w:nsid w:val="00000002"/>
    <w:multiLevelType w:val="singleLevel"/>
    <w:tmpl w:val="00000002"/>
    <w:name w:val="WW8Num5"/>
    <w:lvl w:ilvl="0">
      <w:start w:val="1"/>
      <w:numFmt w:val="bullet"/>
      <w:lvlText w:val=""/>
      <w:lvlJc w:val="left"/>
      <w:pPr>
        <w:tabs>
          <w:tab w:val="num" w:pos="720"/>
        </w:tabs>
        <w:ind w:left="720" w:hanging="360"/>
      </w:pPr>
      <w:rPr>
        <w:rFonts w:ascii="Wingdings" w:hAnsi="Wingdings" w:cs="OpenSymbol"/>
      </w:rPr>
    </w:lvl>
  </w:abstractNum>
  <w:abstractNum w:abstractNumId="2" w15:restartNumberingAfterBreak="0">
    <w:nsid w:val="1EC3479A"/>
    <w:multiLevelType w:val="hybridMultilevel"/>
    <w:tmpl w:val="49DA87E2"/>
    <w:lvl w:ilvl="0" w:tplc="0809000D">
      <w:start w:val="1"/>
      <w:numFmt w:val="bullet"/>
      <w:lvlText w:val=""/>
      <w:lvlJc w:val="left"/>
      <w:pPr>
        <w:ind w:left="1080" w:hanging="360"/>
      </w:pPr>
      <w:rPr>
        <w:rFonts w:ascii="Wingdings" w:hAnsi="Wingdings"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49350D"/>
    <w:multiLevelType w:val="hybridMultilevel"/>
    <w:tmpl w:val="011CCC22"/>
    <w:lvl w:ilvl="0" w:tplc="00000002">
      <w:start w:val="1"/>
      <w:numFmt w:val="bullet"/>
      <w:lvlText w:val=""/>
      <w:lvlJc w:val="left"/>
      <w:pPr>
        <w:ind w:left="1080" w:hanging="360"/>
      </w:pPr>
      <w:rPr>
        <w:rFonts w:ascii="Wingdings" w:hAnsi="Wingdings" w:cs="OpenSymbol"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FE6E5C"/>
    <w:multiLevelType w:val="hybridMultilevel"/>
    <w:tmpl w:val="24D2F684"/>
    <w:lvl w:ilvl="0" w:tplc="00000002">
      <w:start w:val="1"/>
      <w:numFmt w:val="bullet"/>
      <w:lvlText w:val=""/>
      <w:lvlJc w:val="left"/>
      <w:pPr>
        <w:ind w:left="1080" w:hanging="360"/>
      </w:pPr>
      <w:rPr>
        <w:rFonts w:ascii="Wingdings" w:hAnsi="Wingdings" w:cs="OpenSymbol"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435C28"/>
    <w:multiLevelType w:val="hybridMultilevel"/>
    <w:tmpl w:val="6FC44016"/>
    <w:lvl w:ilvl="0" w:tplc="00000002">
      <w:start w:val="1"/>
      <w:numFmt w:val="bullet"/>
      <w:lvlText w:val=""/>
      <w:lvlJc w:val="left"/>
      <w:pPr>
        <w:ind w:left="1080" w:hanging="360"/>
      </w:pPr>
      <w:rPr>
        <w:rFonts w:ascii="Wingdings" w:hAnsi="Wingdings" w:cs="OpenSymbol"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A1D2D0D"/>
    <w:multiLevelType w:val="hybridMultilevel"/>
    <w:tmpl w:val="4692C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DC3DC6"/>
    <w:multiLevelType w:val="hybridMultilevel"/>
    <w:tmpl w:val="1D0CBE70"/>
    <w:lvl w:ilvl="0" w:tplc="00000002">
      <w:start w:val="1"/>
      <w:numFmt w:val="bullet"/>
      <w:lvlText w:val=""/>
      <w:lvlJc w:val="left"/>
      <w:pPr>
        <w:ind w:left="720" w:hanging="360"/>
      </w:pPr>
      <w:rPr>
        <w:rFonts w:ascii="Wingdings" w:hAnsi="Wingdings" w:cs="OpenSymbol" w:hint="default"/>
        <w:color w:val="0099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724715"/>
    <w:multiLevelType w:val="hybridMultilevel"/>
    <w:tmpl w:val="476423D2"/>
    <w:lvl w:ilvl="0" w:tplc="00000002">
      <w:start w:val="1"/>
      <w:numFmt w:val="bullet"/>
      <w:lvlText w:val=""/>
      <w:lvlJc w:val="left"/>
      <w:pPr>
        <w:ind w:left="1080" w:hanging="360"/>
      </w:pPr>
      <w:rPr>
        <w:rFonts w:ascii="Wingdings" w:hAnsi="Wingdings" w:cs="OpenSymbol"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BA36A9B"/>
    <w:multiLevelType w:val="hybridMultilevel"/>
    <w:tmpl w:val="0D56DE36"/>
    <w:lvl w:ilvl="0" w:tplc="00000002">
      <w:start w:val="1"/>
      <w:numFmt w:val="bullet"/>
      <w:lvlText w:val=""/>
      <w:lvlJc w:val="left"/>
      <w:pPr>
        <w:ind w:left="720" w:hanging="360"/>
      </w:pPr>
      <w:rPr>
        <w:rFonts w:ascii="Wingdings" w:hAnsi="Wingdings" w:cs="OpenSymbol" w:hint="default"/>
        <w:color w:val="0099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36484E"/>
    <w:multiLevelType w:val="hybridMultilevel"/>
    <w:tmpl w:val="E0500B6A"/>
    <w:lvl w:ilvl="0" w:tplc="1E3C325C">
      <w:start w:val="1"/>
      <w:numFmt w:val="bullet"/>
      <w:pStyle w:val="TickList"/>
      <w:lvlText w:val=""/>
      <w:lvlJc w:val="left"/>
      <w:pPr>
        <w:ind w:left="1080" w:hanging="360"/>
      </w:pPr>
      <w:rPr>
        <w:rFonts w:ascii="Wingdings" w:hAnsi="Wingdings"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0DE1B0E"/>
    <w:multiLevelType w:val="hybridMultilevel"/>
    <w:tmpl w:val="3000F10E"/>
    <w:lvl w:ilvl="0" w:tplc="00000002">
      <w:start w:val="1"/>
      <w:numFmt w:val="bullet"/>
      <w:lvlText w:val=""/>
      <w:lvlJc w:val="left"/>
      <w:pPr>
        <w:ind w:left="644" w:hanging="360"/>
      </w:pPr>
      <w:rPr>
        <w:rFonts w:ascii="Wingdings" w:hAnsi="Wingdings" w:cs="OpenSymbol" w:hint="default"/>
        <w:color w:val="009900"/>
        <w:sz w:val="24"/>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57760D4B"/>
    <w:multiLevelType w:val="hybridMultilevel"/>
    <w:tmpl w:val="76D09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2D6C5D"/>
    <w:multiLevelType w:val="hybridMultilevel"/>
    <w:tmpl w:val="C2827C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4D3B31"/>
    <w:multiLevelType w:val="hybridMultilevel"/>
    <w:tmpl w:val="1FEE44B2"/>
    <w:lvl w:ilvl="0" w:tplc="00000002">
      <w:start w:val="1"/>
      <w:numFmt w:val="bullet"/>
      <w:lvlText w:val=""/>
      <w:lvlJc w:val="left"/>
      <w:pPr>
        <w:ind w:left="720" w:hanging="360"/>
      </w:pPr>
      <w:rPr>
        <w:rFonts w:ascii="Wingdings" w:hAnsi="Wingdings" w:cs="Open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E36C9C"/>
    <w:multiLevelType w:val="hybridMultilevel"/>
    <w:tmpl w:val="DCA07E1A"/>
    <w:lvl w:ilvl="0" w:tplc="00000002">
      <w:start w:val="1"/>
      <w:numFmt w:val="bullet"/>
      <w:lvlText w:val=""/>
      <w:lvlJc w:val="left"/>
      <w:pPr>
        <w:ind w:left="720" w:hanging="360"/>
      </w:pPr>
      <w:rPr>
        <w:rFonts w:ascii="Wingdings" w:hAnsi="Wingdings" w:cs="Open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2211BE"/>
    <w:multiLevelType w:val="hybridMultilevel"/>
    <w:tmpl w:val="BA942FE6"/>
    <w:lvl w:ilvl="0" w:tplc="00000002">
      <w:start w:val="1"/>
      <w:numFmt w:val="bullet"/>
      <w:lvlText w:val=""/>
      <w:lvlJc w:val="left"/>
      <w:pPr>
        <w:ind w:left="1080" w:hanging="360"/>
      </w:pPr>
      <w:rPr>
        <w:rFonts w:ascii="Wingdings" w:hAnsi="Wingdings" w:cs="OpenSymbol" w:hint="default"/>
        <w:color w:val="009900"/>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C576936"/>
    <w:multiLevelType w:val="hybridMultilevel"/>
    <w:tmpl w:val="1AB27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0"/>
  </w:num>
  <w:num w:numId="4">
    <w:abstractNumId w:val="6"/>
  </w:num>
  <w:num w:numId="5">
    <w:abstractNumId w:val="12"/>
  </w:num>
  <w:num w:numId="6">
    <w:abstractNumId w:val="17"/>
  </w:num>
  <w:num w:numId="7">
    <w:abstractNumId w:val="15"/>
  </w:num>
  <w:num w:numId="8">
    <w:abstractNumId w:val="13"/>
  </w:num>
  <w:num w:numId="9">
    <w:abstractNumId w:val="14"/>
  </w:num>
  <w:num w:numId="10">
    <w:abstractNumId w:val="8"/>
  </w:num>
  <w:num w:numId="11">
    <w:abstractNumId w:val="16"/>
  </w:num>
  <w:num w:numId="12">
    <w:abstractNumId w:val="3"/>
  </w:num>
  <w:num w:numId="13">
    <w:abstractNumId w:val="2"/>
  </w:num>
  <w:num w:numId="14">
    <w:abstractNumId w:val="4"/>
  </w:num>
  <w:num w:numId="15">
    <w:abstractNumId w:val="11"/>
  </w:num>
  <w:num w:numId="16">
    <w:abstractNumId w:val="5"/>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702"/>
    <w:rsid w:val="00010E23"/>
    <w:rsid w:val="00061702"/>
    <w:rsid w:val="000730FF"/>
    <w:rsid w:val="00087463"/>
    <w:rsid w:val="000A6994"/>
    <w:rsid w:val="000B2921"/>
    <w:rsid w:val="000E1B60"/>
    <w:rsid w:val="00145F9E"/>
    <w:rsid w:val="00175F2F"/>
    <w:rsid w:val="00180935"/>
    <w:rsid w:val="00190223"/>
    <w:rsid w:val="0022682B"/>
    <w:rsid w:val="002E15B5"/>
    <w:rsid w:val="00405B47"/>
    <w:rsid w:val="00492B7D"/>
    <w:rsid w:val="004C09AA"/>
    <w:rsid w:val="004C1161"/>
    <w:rsid w:val="004D5A22"/>
    <w:rsid w:val="00511B16"/>
    <w:rsid w:val="005215FD"/>
    <w:rsid w:val="00571FEA"/>
    <w:rsid w:val="005978B7"/>
    <w:rsid w:val="005F1BBF"/>
    <w:rsid w:val="0061279C"/>
    <w:rsid w:val="00687E26"/>
    <w:rsid w:val="006B7ABD"/>
    <w:rsid w:val="006D5721"/>
    <w:rsid w:val="00702CC7"/>
    <w:rsid w:val="00774DC3"/>
    <w:rsid w:val="0078787F"/>
    <w:rsid w:val="007979AE"/>
    <w:rsid w:val="00803585"/>
    <w:rsid w:val="00820509"/>
    <w:rsid w:val="008440EB"/>
    <w:rsid w:val="00844766"/>
    <w:rsid w:val="008A1286"/>
    <w:rsid w:val="008B5E5F"/>
    <w:rsid w:val="008D0122"/>
    <w:rsid w:val="009263A3"/>
    <w:rsid w:val="009317BE"/>
    <w:rsid w:val="009342A4"/>
    <w:rsid w:val="00946C60"/>
    <w:rsid w:val="009569D1"/>
    <w:rsid w:val="009958D0"/>
    <w:rsid w:val="009D059E"/>
    <w:rsid w:val="00A00848"/>
    <w:rsid w:val="00A058B8"/>
    <w:rsid w:val="00A40366"/>
    <w:rsid w:val="00A464A3"/>
    <w:rsid w:val="00A60DA7"/>
    <w:rsid w:val="00B16425"/>
    <w:rsid w:val="00B408E6"/>
    <w:rsid w:val="00B45165"/>
    <w:rsid w:val="00BB539D"/>
    <w:rsid w:val="00BF5D71"/>
    <w:rsid w:val="00C02158"/>
    <w:rsid w:val="00C541F4"/>
    <w:rsid w:val="00C95892"/>
    <w:rsid w:val="00D70B40"/>
    <w:rsid w:val="00E13328"/>
    <w:rsid w:val="00E52D23"/>
    <w:rsid w:val="00E75A0A"/>
    <w:rsid w:val="00E819CF"/>
    <w:rsid w:val="00E9179F"/>
    <w:rsid w:val="00EB64BD"/>
    <w:rsid w:val="00EE2987"/>
    <w:rsid w:val="00EE4F9C"/>
    <w:rsid w:val="00EE6C1F"/>
    <w:rsid w:val="00F83208"/>
    <w:rsid w:val="00FF2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FEB1A"/>
  <w15:chartTrackingRefBased/>
  <w15:docId w15:val="{9BEC25ED-5CE4-489D-B50D-B86379A0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208"/>
  </w:style>
  <w:style w:type="paragraph" w:styleId="Heading1">
    <w:name w:val="heading 1"/>
    <w:basedOn w:val="Normal"/>
    <w:next w:val="BodyText"/>
    <w:link w:val="Heading1Char"/>
    <w:qFormat/>
    <w:rsid w:val="000E1B60"/>
    <w:pPr>
      <w:keepNext/>
      <w:numPr>
        <w:numId w:val="1"/>
      </w:numPr>
      <w:suppressAutoHyphens/>
      <w:spacing w:before="240" w:after="0" w:line="240" w:lineRule="auto"/>
      <w:outlineLvl w:val="0"/>
    </w:pPr>
    <w:rPr>
      <w:rFonts w:ascii="Arial" w:eastAsia="Arial Unicode MS" w:hAnsi="Arial" w:cs="Tahoma"/>
      <w:b/>
      <w:bCs/>
      <w:color w:val="579D1C"/>
      <w:kern w:val="1"/>
      <w:sz w:val="36"/>
      <w:szCs w:val="32"/>
      <w:lang w:eastAsia="en-GB"/>
    </w:rPr>
  </w:style>
  <w:style w:type="paragraph" w:styleId="Heading2">
    <w:name w:val="heading 2"/>
    <w:basedOn w:val="Normal"/>
    <w:next w:val="BodyText"/>
    <w:link w:val="Heading2Char"/>
    <w:qFormat/>
    <w:rsid w:val="000E1B60"/>
    <w:pPr>
      <w:keepNext/>
      <w:numPr>
        <w:ilvl w:val="1"/>
        <w:numId w:val="1"/>
      </w:numPr>
      <w:suppressAutoHyphens/>
      <w:spacing w:before="240" w:after="0" w:line="240" w:lineRule="auto"/>
      <w:outlineLvl w:val="1"/>
    </w:pPr>
    <w:rPr>
      <w:rFonts w:ascii="Arial" w:eastAsia="Arial Unicode MS" w:hAnsi="Arial" w:cs="Tahoma"/>
      <w:b/>
      <w:bCs/>
      <w:i/>
      <w:iCs/>
      <w:color w:val="579D1C"/>
      <w:kern w:val="1"/>
      <w:sz w:val="24"/>
      <w:szCs w:val="28"/>
      <w:lang w:eastAsia="en-GB"/>
    </w:rPr>
  </w:style>
  <w:style w:type="paragraph" w:styleId="Heading3">
    <w:name w:val="heading 3"/>
    <w:basedOn w:val="Normal"/>
    <w:next w:val="BodyText"/>
    <w:link w:val="Heading3Char"/>
    <w:qFormat/>
    <w:rsid w:val="000E1B60"/>
    <w:pPr>
      <w:keepNext/>
      <w:numPr>
        <w:ilvl w:val="2"/>
        <w:numId w:val="1"/>
      </w:numPr>
      <w:suppressAutoHyphens/>
      <w:spacing w:before="113" w:after="0" w:line="240" w:lineRule="auto"/>
      <w:outlineLvl w:val="2"/>
    </w:pPr>
    <w:rPr>
      <w:rFonts w:ascii="Arial" w:eastAsia="Arial Unicode MS" w:hAnsi="Arial" w:cs="Tahoma"/>
      <w:b/>
      <w:bCs/>
      <w:i/>
      <w:color w:val="579D1C"/>
      <w:kern w:val="1"/>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3208"/>
    <w:pPr>
      <w:spacing w:after="0" w:line="240" w:lineRule="auto"/>
    </w:pPr>
  </w:style>
  <w:style w:type="character" w:customStyle="1" w:styleId="Heading1Char">
    <w:name w:val="Heading 1 Char"/>
    <w:basedOn w:val="DefaultParagraphFont"/>
    <w:link w:val="Heading1"/>
    <w:rsid w:val="000E1B60"/>
    <w:rPr>
      <w:rFonts w:ascii="Arial" w:eastAsia="Arial Unicode MS" w:hAnsi="Arial" w:cs="Tahoma"/>
      <w:b/>
      <w:bCs/>
      <w:color w:val="579D1C"/>
      <w:kern w:val="1"/>
      <w:sz w:val="36"/>
      <w:szCs w:val="32"/>
      <w:lang w:eastAsia="en-GB"/>
    </w:rPr>
  </w:style>
  <w:style w:type="character" w:customStyle="1" w:styleId="Heading2Char">
    <w:name w:val="Heading 2 Char"/>
    <w:basedOn w:val="DefaultParagraphFont"/>
    <w:link w:val="Heading2"/>
    <w:rsid w:val="000E1B60"/>
    <w:rPr>
      <w:rFonts w:ascii="Arial" w:eastAsia="Arial Unicode MS" w:hAnsi="Arial" w:cs="Tahoma"/>
      <w:b/>
      <w:bCs/>
      <w:i/>
      <w:iCs/>
      <w:color w:val="579D1C"/>
      <w:kern w:val="1"/>
      <w:sz w:val="24"/>
      <w:szCs w:val="28"/>
      <w:lang w:eastAsia="en-GB"/>
    </w:rPr>
  </w:style>
  <w:style w:type="character" w:customStyle="1" w:styleId="Heading3Char">
    <w:name w:val="Heading 3 Char"/>
    <w:basedOn w:val="DefaultParagraphFont"/>
    <w:link w:val="Heading3"/>
    <w:rsid w:val="000E1B60"/>
    <w:rPr>
      <w:rFonts w:ascii="Arial" w:eastAsia="Arial Unicode MS" w:hAnsi="Arial" w:cs="Tahoma"/>
      <w:b/>
      <w:bCs/>
      <w:i/>
      <w:color w:val="579D1C"/>
      <w:kern w:val="1"/>
      <w:szCs w:val="28"/>
      <w:lang w:eastAsia="en-GB"/>
    </w:rPr>
  </w:style>
  <w:style w:type="paragraph" w:styleId="Title">
    <w:name w:val="Title"/>
    <w:basedOn w:val="Normal"/>
    <w:next w:val="Normal"/>
    <w:link w:val="TitleChar"/>
    <w:uiPriority w:val="10"/>
    <w:qFormat/>
    <w:rsid w:val="000E1B60"/>
    <w:pPr>
      <w:keepNext/>
      <w:suppressAutoHyphens/>
      <w:spacing w:before="240" w:after="0" w:line="240" w:lineRule="auto"/>
      <w:jc w:val="center"/>
    </w:pPr>
    <w:rPr>
      <w:rFonts w:ascii="Arial" w:eastAsia="Arial Unicode MS" w:hAnsi="Arial" w:cs="Tahoma"/>
      <w:b/>
      <w:color w:val="579D1C"/>
      <w:kern w:val="1"/>
      <w:sz w:val="48"/>
      <w:szCs w:val="28"/>
      <w:lang w:eastAsia="en-GB"/>
    </w:rPr>
  </w:style>
  <w:style w:type="character" w:customStyle="1" w:styleId="TitleChar">
    <w:name w:val="Title Char"/>
    <w:basedOn w:val="DefaultParagraphFont"/>
    <w:link w:val="Title"/>
    <w:uiPriority w:val="10"/>
    <w:rsid w:val="000E1B60"/>
    <w:rPr>
      <w:rFonts w:ascii="Arial" w:eastAsia="Arial Unicode MS" w:hAnsi="Arial" w:cs="Tahoma"/>
      <w:b/>
      <w:color w:val="579D1C"/>
      <w:kern w:val="1"/>
      <w:sz w:val="48"/>
      <w:szCs w:val="28"/>
      <w:lang w:eastAsia="en-GB"/>
    </w:rPr>
  </w:style>
  <w:style w:type="paragraph" w:styleId="BodyText">
    <w:name w:val="Body Text"/>
    <w:basedOn w:val="Normal"/>
    <w:link w:val="BodyTextChar"/>
    <w:uiPriority w:val="99"/>
    <w:unhideWhenUsed/>
    <w:rsid w:val="000E1B60"/>
    <w:pPr>
      <w:spacing w:after="120"/>
    </w:pPr>
  </w:style>
  <w:style w:type="character" w:customStyle="1" w:styleId="BodyTextChar">
    <w:name w:val="Body Text Char"/>
    <w:basedOn w:val="DefaultParagraphFont"/>
    <w:link w:val="BodyText"/>
    <w:uiPriority w:val="99"/>
    <w:rsid w:val="000E1B60"/>
  </w:style>
  <w:style w:type="paragraph" w:customStyle="1" w:styleId="Heading">
    <w:name w:val="Heading"/>
    <w:basedOn w:val="Normal"/>
    <w:next w:val="BodyText"/>
    <w:rsid w:val="000E1B60"/>
    <w:pPr>
      <w:keepNext/>
      <w:suppressAutoHyphens/>
      <w:spacing w:before="170" w:after="113" w:line="240" w:lineRule="auto"/>
    </w:pPr>
    <w:rPr>
      <w:rFonts w:ascii="Arial" w:eastAsia="Arial Unicode MS" w:hAnsi="Arial" w:cs="Tahoma"/>
      <w:b/>
      <w:color w:val="579D1C"/>
      <w:kern w:val="1"/>
      <w:sz w:val="48"/>
      <w:szCs w:val="28"/>
      <w:lang w:eastAsia="en-GB"/>
    </w:rPr>
  </w:style>
  <w:style w:type="paragraph" w:customStyle="1" w:styleId="TableContents">
    <w:name w:val="Table Contents"/>
    <w:basedOn w:val="Normal"/>
    <w:rsid w:val="000E1B60"/>
    <w:pPr>
      <w:suppressLineNumbers/>
      <w:suppressAutoHyphens/>
      <w:spacing w:before="120" w:after="0" w:line="240" w:lineRule="auto"/>
    </w:pPr>
    <w:rPr>
      <w:rFonts w:ascii="Arial" w:eastAsia="Arial Unicode MS" w:hAnsi="Arial" w:cs="Arial"/>
      <w:kern w:val="1"/>
      <w:szCs w:val="24"/>
      <w:lang w:eastAsia="en-GB"/>
    </w:rPr>
  </w:style>
  <w:style w:type="paragraph" w:customStyle="1" w:styleId="Textbodybullet">
    <w:name w:val="Text body bullet"/>
    <w:basedOn w:val="BodyText"/>
    <w:rsid w:val="000E1B60"/>
    <w:pPr>
      <w:suppressAutoHyphens/>
      <w:spacing w:before="28" w:after="28" w:line="240" w:lineRule="auto"/>
    </w:pPr>
    <w:rPr>
      <w:rFonts w:ascii="Arial" w:eastAsia="Arial Unicode MS" w:hAnsi="Arial" w:cs="Arial"/>
      <w:kern w:val="1"/>
      <w:szCs w:val="24"/>
      <w:lang w:eastAsia="en-GB"/>
    </w:rPr>
  </w:style>
  <w:style w:type="paragraph" w:customStyle="1" w:styleId="TickList">
    <w:name w:val="TickList"/>
    <w:basedOn w:val="Textbodybullet"/>
    <w:link w:val="TickListChar"/>
    <w:qFormat/>
    <w:rsid w:val="000E1B60"/>
    <w:pPr>
      <w:numPr>
        <w:numId w:val="3"/>
      </w:numPr>
      <w:spacing w:before="60" w:after="0"/>
      <w:ind w:left="850" w:hanging="425"/>
    </w:pPr>
  </w:style>
  <w:style w:type="character" w:customStyle="1" w:styleId="TickListChar">
    <w:name w:val="TickList Char"/>
    <w:basedOn w:val="DefaultParagraphFont"/>
    <w:link w:val="TickList"/>
    <w:rsid w:val="000E1B60"/>
    <w:rPr>
      <w:rFonts w:ascii="Arial" w:eastAsia="Arial Unicode MS" w:hAnsi="Arial" w:cs="Arial"/>
      <w:kern w:val="1"/>
      <w:szCs w:val="24"/>
      <w:lang w:eastAsia="en-GB"/>
    </w:rPr>
  </w:style>
  <w:style w:type="paragraph" w:styleId="Header">
    <w:name w:val="header"/>
    <w:basedOn w:val="Normal"/>
    <w:link w:val="HeaderChar"/>
    <w:uiPriority w:val="99"/>
    <w:unhideWhenUsed/>
    <w:rsid w:val="00010E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E23"/>
  </w:style>
  <w:style w:type="paragraph" w:styleId="Footer">
    <w:name w:val="footer"/>
    <w:basedOn w:val="Normal"/>
    <w:link w:val="FooterChar"/>
    <w:uiPriority w:val="99"/>
    <w:unhideWhenUsed/>
    <w:rsid w:val="00010E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E23"/>
  </w:style>
  <w:style w:type="paragraph" w:styleId="ListParagraph">
    <w:name w:val="List Paragraph"/>
    <w:basedOn w:val="Normal"/>
    <w:uiPriority w:val="34"/>
    <w:qFormat/>
    <w:rsid w:val="008D0122"/>
    <w:pPr>
      <w:ind w:left="720"/>
      <w:contextualSpacing/>
    </w:pPr>
  </w:style>
  <w:style w:type="paragraph" w:styleId="BalloonText">
    <w:name w:val="Balloon Text"/>
    <w:basedOn w:val="Normal"/>
    <w:link w:val="BalloonTextChar"/>
    <w:uiPriority w:val="99"/>
    <w:semiHidden/>
    <w:unhideWhenUsed/>
    <w:rsid w:val="006B7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ABD"/>
    <w:rPr>
      <w:rFonts w:ascii="Segoe UI" w:hAnsi="Segoe UI" w:cs="Segoe UI"/>
      <w:sz w:val="18"/>
      <w:szCs w:val="18"/>
    </w:rPr>
  </w:style>
  <w:style w:type="character" w:styleId="Hyperlink">
    <w:name w:val="Hyperlink"/>
    <w:basedOn w:val="DefaultParagraphFont"/>
    <w:uiPriority w:val="99"/>
    <w:unhideWhenUsed/>
    <w:rsid w:val="00774DC3"/>
    <w:rPr>
      <w:color w:val="0563C1" w:themeColor="hyperlink"/>
      <w:u w:val="single"/>
    </w:rPr>
  </w:style>
  <w:style w:type="character" w:styleId="UnresolvedMention">
    <w:name w:val="Unresolved Mention"/>
    <w:basedOn w:val="DefaultParagraphFont"/>
    <w:uiPriority w:val="99"/>
    <w:semiHidden/>
    <w:unhideWhenUsed/>
    <w:rsid w:val="00774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tisfieldmemorialhall.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ico.org.ukk/global/contact-us/email" TargetMode="External"/><Relationship Id="rId4" Type="http://schemas.openxmlformats.org/officeDocument/2006/relationships/webSettings" Target="webSettings.xml"/><Relationship Id="rId9" Type="http://schemas.openxmlformats.org/officeDocument/2006/relationships/hyperlink" Target="mailto:bookings.cm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Lowe</dc:creator>
  <cp:keywords/>
  <dc:description/>
  <cp:lastModifiedBy>Tracy Spencer</cp:lastModifiedBy>
  <cp:revision>2</cp:revision>
  <cp:lastPrinted>2020-02-21T12:53:00Z</cp:lastPrinted>
  <dcterms:created xsi:type="dcterms:W3CDTF">2021-03-08T08:38:00Z</dcterms:created>
  <dcterms:modified xsi:type="dcterms:W3CDTF">2021-03-08T08:38:00Z</dcterms:modified>
</cp:coreProperties>
</file>