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F8922" w14:textId="77777777" w:rsidR="008C6F57" w:rsidRDefault="008C6F57" w:rsidP="008C6F57">
      <w:r>
        <w:rPr>
          <w:rFonts w:ascii="Open Sans" w:hAnsi="Open Sans"/>
          <w:noProof/>
          <w:color w:val="252525"/>
          <w:lang w:val="en"/>
        </w:rPr>
        <w:drawing>
          <wp:anchor distT="0" distB="0" distL="114300" distR="114300" simplePos="0" relativeHeight="251659264" behindDoc="0" locked="0" layoutInCell="1" allowOverlap="1" wp14:anchorId="353602CF" wp14:editId="7D404EC1">
            <wp:simplePos x="0" y="0"/>
            <wp:positionH relativeFrom="column">
              <wp:posOffset>3989342</wp:posOffset>
            </wp:positionH>
            <wp:positionV relativeFrom="paragraph">
              <wp:posOffset>-174081</wp:posOffset>
            </wp:positionV>
            <wp:extent cx="2638425" cy="778772"/>
            <wp:effectExtent l="0" t="0" r="0" b="2540"/>
            <wp:wrapNone/>
            <wp:docPr id="1" name="Picture 1" descr="logo">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0EC2BA88" w14:textId="77777777" w:rsidR="002232E5" w:rsidRDefault="002232E5" w:rsidP="008C6F57">
      <w:pPr>
        <w:pStyle w:val="Title"/>
        <w:rPr>
          <w:sz w:val="32"/>
          <w:szCs w:val="32"/>
        </w:rPr>
      </w:pPr>
    </w:p>
    <w:p w14:paraId="298C6131" w14:textId="0E2724FD" w:rsidR="008C6F57" w:rsidRDefault="00C45082" w:rsidP="008C6F57">
      <w:pPr>
        <w:pStyle w:val="Title"/>
        <w:rPr>
          <w:sz w:val="32"/>
          <w:szCs w:val="32"/>
        </w:rPr>
      </w:pPr>
      <w:r>
        <w:rPr>
          <w:sz w:val="32"/>
          <w:szCs w:val="32"/>
        </w:rPr>
        <w:t>Health &amp; Safety Policy</w:t>
      </w:r>
    </w:p>
    <w:p w14:paraId="0979547E" w14:textId="660B3F2C" w:rsidR="008C6F57" w:rsidRDefault="008C6F57" w:rsidP="008C6F57">
      <w:pPr>
        <w:rPr>
          <w:lang w:eastAsia="en-GB"/>
        </w:rPr>
      </w:pPr>
    </w:p>
    <w:p w14:paraId="2FDC8CD3" w14:textId="2A311A32" w:rsidR="00292329" w:rsidRDefault="00C45082" w:rsidP="008C6F57">
      <w:pPr>
        <w:rPr>
          <w:i/>
          <w:iCs/>
        </w:rPr>
      </w:pPr>
      <w:r w:rsidRPr="00C45082">
        <w:rPr>
          <w:i/>
          <w:iCs/>
        </w:rPr>
        <w:t>NB: Parts of the policy marked (UI) are reproduced in the User Instructions so both require updating simultaneously.  A separate Fire Instruction notice printed in larger font, reproduced at Appendix A.</w:t>
      </w:r>
    </w:p>
    <w:p w14:paraId="35653E28" w14:textId="0BA0BB6E" w:rsidR="00C45082" w:rsidRDefault="00C45082" w:rsidP="00C45082">
      <w:pPr>
        <w:pStyle w:val="Title"/>
        <w:jc w:val="left"/>
        <w:rPr>
          <w:sz w:val="32"/>
          <w:szCs w:val="32"/>
        </w:rPr>
      </w:pPr>
      <w:r>
        <w:rPr>
          <w:sz w:val="32"/>
          <w:szCs w:val="32"/>
        </w:rPr>
        <w:t>Responsibilities</w:t>
      </w:r>
    </w:p>
    <w:p w14:paraId="27AEB72D" w14:textId="7DD9D275" w:rsidR="00C45082" w:rsidRPr="002232E5" w:rsidRDefault="00C45082" w:rsidP="00C45082">
      <w:pPr>
        <w:rPr>
          <w:sz w:val="8"/>
          <w:szCs w:val="8"/>
        </w:rPr>
      </w:pPr>
    </w:p>
    <w:p w14:paraId="286BD4A8" w14:textId="2A6294C9" w:rsidR="00C45082" w:rsidRPr="00C45082" w:rsidRDefault="00C45082" w:rsidP="00C45082">
      <w:pPr>
        <w:pStyle w:val="ListParagraph"/>
        <w:numPr>
          <w:ilvl w:val="0"/>
          <w:numId w:val="10"/>
        </w:numPr>
        <w:rPr>
          <w:b/>
          <w:bCs/>
        </w:rPr>
      </w:pPr>
      <w:r w:rsidRPr="00C45082">
        <w:rPr>
          <w:b/>
          <w:bCs/>
        </w:rPr>
        <w:t>Management Committee</w:t>
      </w:r>
    </w:p>
    <w:p w14:paraId="22F2BEE2" w14:textId="5591B21A" w:rsidR="00C45082" w:rsidRPr="002232E5" w:rsidRDefault="00C45082" w:rsidP="00C45082">
      <w:pPr>
        <w:pStyle w:val="ListParagraph"/>
        <w:rPr>
          <w:sz w:val="14"/>
          <w:szCs w:val="14"/>
        </w:rPr>
      </w:pPr>
    </w:p>
    <w:p w14:paraId="516A6CA8" w14:textId="3E0635CD" w:rsidR="00C45082" w:rsidRDefault="00C45082" w:rsidP="00C45082">
      <w:pPr>
        <w:pStyle w:val="ListParagraph"/>
      </w:pPr>
      <w:r>
        <w:t>The Management Committee of trustees and representatives is responsible for the Health &amp; Safety of the Hall.</w:t>
      </w:r>
    </w:p>
    <w:p w14:paraId="0F4ADEC7" w14:textId="465141F3" w:rsidR="00C45082" w:rsidRPr="002232E5" w:rsidRDefault="00C45082" w:rsidP="00C45082">
      <w:pPr>
        <w:pStyle w:val="ListParagraph"/>
        <w:rPr>
          <w:sz w:val="14"/>
          <w:szCs w:val="14"/>
        </w:rPr>
      </w:pPr>
    </w:p>
    <w:p w14:paraId="365BCFF5" w14:textId="3E2811B8" w:rsidR="00C45082" w:rsidRDefault="00C45082" w:rsidP="00C45082">
      <w:pPr>
        <w:pStyle w:val="ListParagraph"/>
      </w:pPr>
      <w:r>
        <w:t>A delegated member of the Management Committee (a trustee) is responsible for implementing the H&amp;S Policy for all the Hall property, buildings and grounds.</w:t>
      </w:r>
    </w:p>
    <w:p w14:paraId="223C8CA6" w14:textId="07EC76C1" w:rsidR="00C45082" w:rsidRPr="002232E5" w:rsidRDefault="00C45082" w:rsidP="00C45082">
      <w:pPr>
        <w:pStyle w:val="ListParagraph"/>
        <w:rPr>
          <w:sz w:val="14"/>
          <w:szCs w:val="14"/>
        </w:rPr>
      </w:pPr>
    </w:p>
    <w:p w14:paraId="1594714E" w14:textId="427AED77" w:rsidR="00C45082" w:rsidRDefault="00C45082" w:rsidP="00C45082">
      <w:pPr>
        <w:pStyle w:val="ListParagraph"/>
      </w:pPr>
      <w:r>
        <w:t>The Management Committee recognised its duty to users of the Hall, volunteers, contractors and others who may be affected by its activities and aims to protect them from risks to health and safety as far as is reasonably practical.</w:t>
      </w:r>
    </w:p>
    <w:p w14:paraId="6601B738" w14:textId="6ADECC96" w:rsidR="00C45082" w:rsidRPr="002232E5" w:rsidRDefault="00C45082" w:rsidP="00C45082">
      <w:pPr>
        <w:pStyle w:val="ListParagraph"/>
        <w:rPr>
          <w:sz w:val="14"/>
          <w:szCs w:val="14"/>
        </w:rPr>
      </w:pPr>
    </w:p>
    <w:p w14:paraId="005B9041" w14:textId="6A8571A1" w:rsidR="00C45082" w:rsidRPr="00C45082" w:rsidRDefault="00C45082" w:rsidP="00C45082">
      <w:pPr>
        <w:pStyle w:val="ListParagraph"/>
        <w:numPr>
          <w:ilvl w:val="0"/>
          <w:numId w:val="10"/>
        </w:numPr>
        <w:rPr>
          <w:b/>
          <w:bCs/>
        </w:rPr>
      </w:pPr>
      <w:r w:rsidRPr="00C45082">
        <w:rPr>
          <w:b/>
          <w:bCs/>
        </w:rPr>
        <w:t>Users, Volunteers &amp; Contractors</w:t>
      </w:r>
    </w:p>
    <w:p w14:paraId="1C652719" w14:textId="6F99BC5A" w:rsidR="00C45082" w:rsidRPr="002232E5" w:rsidRDefault="00C45082" w:rsidP="00C45082">
      <w:pPr>
        <w:pStyle w:val="ListParagraph"/>
        <w:rPr>
          <w:sz w:val="14"/>
          <w:szCs w:val="14"/>
        </w:rPr>
      </w:pPr>
    </w:p>
    <w:p w14:paraId="77DBB377" w14:textId="1B0C508D" w:rsidR="00C45082" w:rsidRDefault="00C45082" w:rsidP="00C45082">
      <w:pPr>
        <w:pStyle w:val="ListParagraph"/>
      </w:pPr>
      <w:r>
        <w:t>Every person using the Hall and its grounds has a responsibility to take reasonable care for the health and safety of themselves and for other people who may be affected by their acts or omissions. They MUST co-operate with the Management Committee in efforts to comply with statutory requirements in the field of H&amp;S. In particular, all users, volunteers and contractors must:</w:t>
      </w:r>
    </w:p>
    <w:p w14:paraId="24E3AC09" w14:textId="24F0A04C" w:rsidR="00C45082" w:rsidRDefault="00C45082" w:rsidP="00C45082">
      <w:pPr>
        <w:pStyle w:val="ListParagraph"/>
        <w:tabs>
          <w:tab w:val="left" w:pos="3396"/>
        </w:tabs>
      </w:pPr>
      <w:r>
        <w:tab/>
      </w:r>
    </w:p>
    <w:p w14:paraId="0F139CFF" w14:textId="3340A5C1" w:rsidR="00C45082" w:rsidRDefault="00C45082" w:rsidP="00292329">
      <w:pPr>
        <w:pStyle w:val="ListParagraph"/>
        <w:numPr>
          <w:ilvl w:val="0"/>
          <w:numId w:val="2"/>
        </w:numPr>
      </w:pPr>
      <w:r>
        <w:t>Work safely and efficiently.</w:t>
      </w:r>
    </w:p>
    <w:p w14:paraId="7FC492CC" w14:textId="77777777" w:rsidR="00C45082" w:rsidRDefault="00C45082" w:rsidP="00292329">
      <w:pPr>
        <w:pStyle w:val="ListParagraph"/>
        <w:numPr>
          <w:ilvl w:val="0"/>
          <w:numId w:val="2"/>
        </w:numPr>
      </w:pPr>
      <w:r>
        <w:t>Undertake own Risk Assessments.</w:t>
      </w:r>
    </w:p>
    <w:p w14:paraId="46878668" w14:textId="77777777" w:rsidR="00C45082" w:rsidRDefault="00C45082" w:rsidP="00292329">
      <w:pPr>
        <w:pStyle w:val="ListParagraph"/>
        <w:numPr>
          <w:ilvl w:val="0"/>
          <w:numId w:val="2"/>
        </w:numPr>
      </w:pPr>
      <w:r>
        <w:t>Adhere to instructions provided with equipment being used.</w:t>
      </w:r>
    </w:p>
    <w:p w14:paraId="369DB1FF" w14:textId="5F1DDE4F" w:rsidR="00C45082" w:rsidRDefault="00C45082" w:rsidP="00292329">
      <w:pPr>
        <w:pStyle w:val="ListParagraph"/>
        <w:numPr>
          <w:ilvl w:val="0"/>
          <w:numId w:val="2"/>
        </w:numPr>
      </w:pPr>
      <w:r>
        <w:t>Report all incidents on the premises that have, or may lead to, injury or damage, directly to the delegated H &amp; S representative. (Details on List of Trustees’ Responsibilities at back of folder). A record must also be made in the Defects Folder or the Accident Log, both to be found on the Kitchen windowsill.</w:t>
      </w:r>
    </w:p>
    <w:p w14:paraId="17E660BB" w14:textId="3F66C73C" w:rsidR="00C45082" w:rsidRDefault="00C45082" w:rsidP="00292329">
      <w:pPr>
        <w:pStyle w:val="ListParagraph"/>
        <w:numPr>
          <w:ilvl w:val="0"/>
          <w:numId w:val="2"/>
        </w:numPr>
      </w:pPr>
      <w:r>
        <w:t>Offer suggestions to improve H &amp; S at the Hall.</w:t>
      </w:r>
    </w:p>
    <w:p w14:paraId="64F61273" w14:textId="1B28C945" w:rsidR="00C45082" w:rsidRDefault="00C45082" w:rsidP="00292329">
      <w:pPr>
        <w:pStyle w:val="ListParagraph"/>
        <w:numPr>
          <w:ilvl w:val="0"/>
          <w:numId w:val="2"/>
        </w:numPr>
      </w:pPr>
      <w:r>
        <w:t>Ensure agreed measures are introduced to reduce or manage identified H &amp; S risks.</w:t>
      </w:r>
    </w:p>
    <w:p w14:paraId="06BE1E28" w14:textId="76088301" w:rsidR="00C45082" w:rsidRDefault="00C45082" w:rsidP="00292329">
      <w:pPr>
        <w:pStyle w:val="ListParagraph"/>
        <w:numPr>
          <w:ilvl w:val="0"/>
          <w:numId w:val="2"/>
        </w:numPr>
      </w:pPr>
      <w:r>
        <w:t>Be aware of the risk of slipping in the car park and driving in icy conditions.</w:t>
      </w:r>
    </w:p>
    <w:p w14:paraId="58166EBF" w14:textId="29069DE1" w:rsidR="002232E5" w:rsidRDefault="002232E5" w:rsidP="002232E5">
      <w:pPr>
        <w:pStyle w:val="Title"/>
        <w:ind w:left="720"/>
        <w:jc w:val="left"/>
        <w:rPr>
          <w:sz w:val="32"/>
          <w:szCs w:val="32"/>
        </w:rPr>
      </w:pPr>
      <w:r>
        <w:rPr>
          <w:sz w:val="32"/>
          <w:szCs w:val="32"/>
        </w:rPr>
        <w:t>Requirements of all Users, Volunteers &amp; Contractors.</w:t>
      </w:r>
    </w:p>
    <w:p w14:paraId="6EE2C791" w14:textId="3EE8E5C8" w:rsidR="00C45082" w:rsidRPr="002232E5" w:rsidRDefault="002232E5" w:rsidP="002232E5">
      <w:pPr>
        <w:tabs>
          <w:tab w:val="left" w:pos="884"/>
        </w:tabs>
        <w:ind w:left="360"/>
        <w:rPr>
          <w:sz w:val="14"/>
          <w:szCs w:val="14"/>
        </w:rPr>
      </w:pPr>
      <w:r>
        <w:tab/>
      </w:r>
    </w:p>
    <w:p w14:paraId="49E330C9" w14:textId="77777777" w:rsidR="002232E5" w:rsidRPr="002232E5" w:rsidRDefault="002232E5" w:rsidP="00292329">
      <w:pPr>
        <w:pStyle w:val="ListParagraph"/>
        <w:numPr>
          <w:ilvl w:val="0"/>
          <w:numId w:val="2"/>
        </w:numPr>
      </w:pPr>
      <w:r>
        <w:t xml:space="preserve">Identify and assess risks to which people involved in their activity are likely to be exposed and brief the group accordingly. </w:t>
      </w:r>
      <w:r>
        <w:rPr>
          <w:b/>
          <w:bCs/>
        </w:rPr>
        <w:t>Particular attention to be paid to the low height of the doors at the rear of the Hall.</w:t>
      </w:r>
    </w:p>
    <w:p w14:paraId="5EEC9137" w14:textId="77777777" w:rsidR="002232E5" w:rsidRDefault="002232E5" w:rsidP="00292329">
      <w:pPr>
        <w:pStyle w:val="ListParagraph"/>
        <w:numPr>
          <w:ilvl w:val="0"/>
          <w:numId w:val="2"/>
        </w:numPr>
      </w:pPr>
      <w:r>
        <w:t>Introduce specific measures as appropriate to minimise these risks.</w:t>
      </w:r>
    </w:p>
    <w:p w14:paraId="41DA725B" w14:textId="77777777" w:rsidR="002232E5" w:rsidRDefault="002232E5" w:rsidP="00292329">
      <w:pPr>
        <w:pStyle w:val="ListParagraph"/>
        <w:numPr>
          <w:ilvl w:val="0"/>
          <w:numId w:val="2"/>
        </w:numPr>
      </w:pPr>
      <w:r>
        <w:t>Adopt safe working practices.</w:t>
      </w:r>
    </w:p>
    <w:p w14:paraId="3C58988E" w14:textId="77777777" w:rsidR="002232E5" w:rsidRDefault="002232E5" w:rsidP="00292329">
      <w:pPr>
        <w:pStyle w:val="ListParagraph"/>
        <w:numPr>
          <w:ilvl w:val="0"/>
          <w:numId w:val="2"/>
        </w:numPr>
      </w:pPr>
      <w:r>
        <w:t>Maintain systems to effectively implement, monitor, review and improve H &amp; S on an ongoing basis.</w:t>
      </w:r>
    </w:p>
    <w:p w14:paraId="6E27D56A" w14:textId="77777777" w:rsidR="002232E5" w:rsidRDefault="002232E5" w:rsidP="00292329">
      <w:pPr>
        <w:pStyle w:val="ListParagraph"/>
        <w:numPr>
          <w:ilvl w:val="0"/>
          <w:numId w:val="2"/>
        </w:numPr>
      </w:pPr>
      <w:r>
        <w:t>Read and comply with the requirements of the Hall Booking Form, User Instructions and Fire Instructions to enable them to perform their activities/work safely and effectively.</w:t>
      </w:r>
    </w:p>
    <w:p w14:paraId="7B8B3B2B" w14:textId="522DADB8" w:rsidR="002232E5" w:rsidRDefault="002232E5" w:rsidP="00292329">
      <w:pPr>
        <w:pStyle w:val="ListParagraph"/>
        <w:numPr>
          <w:ilvl w:val="0"/>
          <w:numId w:val="2"/>
        </w:numPr>
      </w:pPr>
      <w:r>
        <w:t>Ensure that appropriate Employers</w:t>
      </w:r>
      <w:r w:rsidR="00C905C6">
        <w:t>’ and</w:t>
      </w:r>
      <w:r>
        <w:t xml:space="preserve"> Public Liability insurance cover is in place.</w:t>
      </w:r>
    </w:p>
    <w:p w14:paraId="24A932F1" w14:textId="77777777" w:rsidR="002232E5" w:rsidRDefault="002232E5" w:rsidP="002232E5">
      <w:pPr>
        <w:pStyle w:val="ListParagraph"/>
      </w:pPr>
    </w:p>
    <w:p w14:paraId="785C0BA5" w14:textId="21AB6F77" w:rsidR="002232E5" w:rsidRDefault="002232E5" w:rsidP="002232E5">
      <w:pPr>
        <w:pStyle w:val="Title"/>
        <w:ind w:left="720"/>
        <w:jc w:val="left"/>
        <w:rPr>
          <w:sz w:val="32"/>
          <w:szCs w:val="32"/>
        </w:rPr>
      </w:pPr>
      <w:r>
        <w:rPr>
          <w:sz w:val="32"/>
          <w:szCs w:val="32"/>
        </w:rPr>
        <w:lastRenderedPageBreak/>
        <w:t>Accidents</w:t>
      </w:r>
    </w:p>
    <w:p w14:paraId="3F1B9EE4" w14:textId="48DFEB84" w:rsidR="002232E5" w:rsidRDefault="002232E5" w:rsidP="002232E5">
      <w:pPr>
        <w:rPr>
          <w:lang w:eastAsia="en-GB"/>
        </w:rPr>
      </w:pPr>
    </w:p>
    <w:p w14:paraId="515B0523" w14:textId="25874346" w:rsidR="002232E5" w:rsidRDefault="002232E5" w:rsidP="002232E5">
      <w:pPr>
        <w:ind w:left="720"/>
        <w:rPr>
          <w:lang w:eastAsia="en-GB"/>
        </w:rPr>
      </w:pPr>
      <w:r>
        <w:rPr>
          <w:lang w:eastAsia="en-GB"/>
        </w:rPr>
        <w:t xml:space="preserve">Two First Aid kits are to be located in the kitchen in a cupboard marked with a </w:t>
      </w:r>
      <w:r w:rsidRPr="002232E5">
        <w:rPr>
          <w:b/>
          <w:bCs/>
          <w:color w:val="00B050"/>
          <w:lang w:eastAsia="en-GB"/>
        </w:rPr>
        <w:t>Green Cross.</w:t>
      </w:r>
      <w:r w:rsidRPr="002232E5">
        <w:rPr>
          <w:color w:val="00B050"/>
          <w:lang w:eastAsia="en-GB"/>
        </w:rPr>
        <w:t xml:space="preserve"> </w:t>
      </w:r>
      <w:r>
        <w:rPr>
          <w:lang w:eastAsia="en-GB"/>
        </w:rPr>
        <w:t>The responsibility for maintaining the box lies with the H &amp; S representative from the Management Committee.</w:t>
      </w:r>
    </w:p>
    <w:p w14:paraId="512C98B0" w14:textId="1A3C731D" w:rsidR="002232E5" w:rsidRDefault="002232E5" w:rsidP="002232E5">
      <w:pPr>
        <w:ind w:left="720"/>
        <w:rPr>
          <w:lang w:eastAsia="en-GB"/>
        </w:rPr>
      </w:pPr>
      <w:r>
        <w:rPr>
          <w:lang w:eastAsia="en-GB"/>
        </w:rPr>
        <w:t>Responsibility for reporting accidents/incidents lies with the individual booking the Hall. The Accident Log, Forms &amp; Instructions for Completion to be located with the First Aid Kits.</w:t>
      </w:r>
    </w:p>
    <w:p w14:paraId="1C18DBDB" w14:textId="38AEF162" w:rsidR="002232E5" w:rsidRDefault="002232E5" w:rsidP="002232E5">
      <w:pPr>
        <w:ind w:left="720"/>
        <w:rPr>
          <w:lang w:eastAsia="en-GB"/>
        </w:rPr>
      </w:pPr>
      <w:r>
        <w:rPr>
          <w:lang w:eastAsia="en-GB"/>
        </w:rPr>
        <w:t>Responsibility for monitoring the Accident Log and reporting back to the Management Committee where necessary, lies with the H &amp; S representative from the Management Committee.</w:t>
      </w:r>
    </w:p>
    <w:p w14:paraId="020A9235" w14:textId="258D381C" w:rsidR="002232E5" w:rsidRDefault="002232E5" w:rsidP="002232E5">
      <w:pPr>
        <w:pStyle w:val="Title"/>
        <w:ind w:firstLine="720"/>
        <w:jc w:val="left"/>
        <w:rPr>
          <w:sz w:val="32"/>
          <w:szCs w:val="32"/>
        </w:rPr>
      </w:pPr>
      <w:r>
        <w:rPr>
          <w:sz w:val="32"/>
          <w:szCs w:val="32"/>
        </w:rPr>
        <w:t>Fire Safety</w:t>
      </w:r>
    </w:p>
    <w:p w14:paraId="35AE4B36" w14:textId="7A882391" w:rsidR="002232E5" w:rsidRDefault="002232E5" w:rsidP="002232E5">
      <w:pPr>
        <w:rPr>
          <w:lang w:eastAsia="en-GB"/>
        </w:rPr>
      </w:pPr>
    </w:p>
    <w:p w14:paraId="53C9606B" w14:textId="2895154C" w:rsidR="002232E5" w:rsidRDefault="002232E5" w:rsidP="002232E5">
      <w:pPr>
        <w:ind w:left="720"/>
        <w:rPr>
          <w:lang w:eastAsia="en-GB"/>
        </w:rPr>
      </w:pPr>
      <w:r>
        <w:rPr>
          <w:lang w:eastAsia="en-GB"/>
        </w:rPr>
        <w:t>The Management Committee is responsible for ensuring the installation and maintenance of fire extinguishers in the main hall and in the entrance lobby, plus the fire blanket in the kitchen.</w:t>
      </w:r>
    </w:p>
    <w:p w14:paraId="7A5EDD3F" w14:textId="7448F2A8" w:rsidR="00C905C6" w:rsidRDefault="00C905C6" w:rsidP="002232E5">
      <w:pPr>
        <w:ind w:left="720"/>
        <w:rPr>
          <w:lang w:eastAsia="en-GB"/>
        </w:rPr>
      </w:pPr>
      <w:r>
        <w:rPr>
          <w:lang w:eastAsia="en-GB"/>
        </w:rPr>
        <w:t xml:space="preserve">Fire extinguishers and the emergency lighting must be maintained once a year (in this case in February) and the emergency lighting checked monthly. These instructions to be included in User Instructions and a laminated copy displayed in the main hall – in this case, beneath the bell between the room entrance and the kitchen door. </w:t>
      </w:r>
    </w:p>
    <w:p w14:paraId="2D9216EF" w14:textId="7086BE50" w:rsidR="00C905C6" w:rsidRDefault="00C905C6" w:rsidP="002232E5">
      <w:pPr>
        <w:ind w:left="720"/>
        <w:rPr>
          <w:lang w:eastAsia="en-GB"/>
        </w:rPr>
      </w:pPr>
      <w:r>
        <w:rPr>
          <w:lang w:eastAsia="en-GB"/>
        </w:rPr>
        <w:t>The Management Committee must ensure that escape routes are clearly marked.</w:t>
      </w:r>
    </w:p>
    <w:p w14:paraId="3F4B738E" w14:textId="039409D8" w:rsidR="00C905C6" w:rsidRDefault="00C905C6" w:rsidP="00C905C6">
      <w:pPr>
        <w:pStyle w:val="Title"/>
        <w:ind w:firstLine="720"/>
        <w:jc w:val="left"/>
        <w:rPr>
          <w:sz w:val="32"/>
          <w:szCs w:val="32"/>
        </w:rPr>
      </w:pPr>
      <w:r>
        <w:rPr>
          <w:sz w:val="32"/>
          <w:szCs w:val="32"/>
        </w:rPr>
        <w:t>Hall Electrical Appliances (UI)</w:t>
      </w:r>
    </w:p>
    <w:p w14:paraId="614A4509" w14:textId="40349F03" w:rsidR="00C905C6" w:rsidRDefault="00C905C6" w:rsidP="00C905C6">
      <w:pPr>
        <w:rPr>
          <w:lang w:eastAsia="en-GB"/>
        </w:rPr>
      </w:pPr>
      <w:r>
        <w:rPr>
          <w:lang w:eastAsia="en-GB"/>
        </w:rPr>
        <w:tab/>
      </w:r>
    </w:p>
    <w:p w14:paraId="3DC51E04" w14:textId="08908A32" w:rsidR="00C905C6" w:rsidRDefault="00C905C6" w:rsidP="00C905C6">
      <w:pPr>
        <w:ind w:left="720"/>
        <w:rPr>
          <w:lang w:eastAsia="en-GB"/>
        </w:rPr>
      </w:pPr>
      <w:r>
        <w:rPr>
          <w:lang w:eastAsia="en-GB"/>
        </w:rPr>
        <w:t xml:space="preserve">If users consider a portable electrical appliance is defective, they MUST take it out of use, label it with labels kept in the drawer under the Green Cross Cupboard.  The defect should also be recorded in the Defect Folder. </w:t>
      </w:r>
    </w:p>
    <w:p w14:paraId="14612937" w14:textId="20D3FF14" w:rsidR="00C905C6" w:rsidRDefault="00C905C6" w:rsidP="00C905C6">
      <w:pPr>
        <w:ind w:left="720"/>
        <w:rPr>
          <w:lang w:eastAsia="en-GB"/>
        </w:rPr>
      </w:pPr>
      <w:r>
        <w:rPr>
          <w:lang w:eastAsia="en-GB"/>
        </w:rPr>
        <w:t>The H &amp; S representative from the Management Committee will regularly inspect this record and remove defective equipment, informing the Management Committee of its removal and possible need for replacement.</w:t>
      </w:r>
    </w:p>
    <w:p w14:paraId="7FED6626" w14:textId="2C124A80" w:rsidR="00C905C6" w:rsidRDefault="00C905C6" w:rsidP="00C905C6">
      <w:pPr>
        <w:ind w:left="720"/>
        <w:rPr>
          <w:lang w:eastAsia="en-GB"/>
        </w:rPr>
      </w:pPr>
      <w:r>
        <w:rPr>
          <w:lang w:eastAsia="en-GB"/>
        </w:rPr>
        <w:t>Portable Apparatus Testing (PAT) should also be arranged annually, in this case each February, by the H &amp; S trustee.</w:t>
      </w:r>
    </w:p>
    <w:p w14:paraId="05C5D5FC" w14:textId="676CBDA4" w:rsidR="00C905C6" w:rsidRDefault="00C905C6" w:rsidP="00C905C6">
      <w:pPr>
        <w:pStyle w:val="Title"/>
        <w:ind w:firstLine="720"/>
        <w:jc w:val="left"/>
        <w:rPr>
          <w:sz w:val="32"/>
          <w:szCs w:val="32"/>
        </w:rPr>
      </w:pPr>
      <w:r>
        <w:rPr>
          <w:sz w:val="32"/>
          <w:szCs w:val="32"/>
        </w:rPr>
        <w:t xml:space="preserve">Risk Assessments </w:t>
      </w:r>
    </w:p>
    <w:p w14:paraId="51B420E8" w14:textId="065F4671" w:rsidR="00C905C6" w:rsidRDefault="00C905C6" w:rsidP="00C905C6">
      <w:pPr>
        <w:rPr>
          <w:lang w:eastAsia="en-GB"/>
        </w:rPr>
      </w:pPr>
    </w:p>
    <w:p w14:paraId="101E0E95" w14:textId="1A1A4FB7" w:rsidR="00C905C6" w:rsidRPr="00C905C6" w:rsidRDefault="00C905C6" w:rsidP="00C905C6">
      <w:pPr>
        <w:ind w:left="720"/>
        <w:rPr>
          <w:lang w:eastAsia="en-GB"/>
        </w:rPr>
      </w:pPr>
      <w:r>
        <w:rPr>
          <w:lang w:eastAsia="en-GB"/>
        </w:rPr>
        <w:t xml:space="preserve">Risk Assessments will be completed to identify all potential hazards and will be reviewed annually. Current Risk Assessment is at Appendix </w:t>
      </w:r>
      <w:r w:rsidR="000B4381">
        <w:rPr>
          <w:lang w:eastAsia="en-GB"/>
        </w:rPr>
        <w:t>B</w:t>
      </w:r>
      <w:r>
        <w:rPr>
          <w:lang w:eastAsia="en-GB"/>
        </w:rPr>
        <w:t>, additional Risk Assessment in line with Government advice re Covid-19 at Appendix C.</w:t>
      </w:r>
    </w:p>
    <w:p w14:paraId="54C0DC07" w14:textId="77777777" w:rsidR="00C905C6" w:rsidRDefault="00C905C6" w:rsidP="00C905C6">
      <w:pPr>
        <w:ind w:left="720"/>
        <w:rPr>
          <w:lang w:eastAsia="en-GB"/>
        </w:rPr>
      </w:pPr>
    </w:p>
    <w:p w14:paraId="6E43145A" w14:textId="1E70A387" w:rsidR="00C905C6" w:rsidRDefault="00C905C6" w:rsidP="00C905C6">
      <w:pPr>
        <w:rPr>
          <w:lang w:eastAsia="en-GB"/>
        </w:rPr>
      </w:pPr>
    </w:p>
    <w:p w14:paraId="623E3BFF" w14:textId="1DE307ED" w:rsidR="000B4381" w:rsidRDefault="000B4381" w:rsidP="000B4381">
      <w:pPr>
        <w:rPr>
          <w:lang w:eastAsia="en-GB"/>
        </w:rPr>
      </w:pPr>
      <w:r>
        <w:rPr>
          <w:lang w:eastAsia="en-GB"/>
        </w:rPr>
        <w:br w:type="page"/>
      </w:r>
    </w:p>
    <w:p w14:paraId="7C6B95D2" w14:textId="77777777" w:rsidR="000B4381" w:rsidRDefault="000B4381" w:rsidP="000B4381">
      <w:pPr>
        <w:pStyle w:val="Title"/>
        <w:jc w:val="left"/>
        <w:rPr>
          <w:sz w:val="32"/>
          <w:szCs w:val="32"/>
        </w:rPr>
      </w:pPr>
      <w:r>
        <w:rPr>
          <w:sz w:val="32"/>
          <w:szCs w:val="32"/>
        </w:rPr>
        <w:lastRenderedPageBreak/>
        <w:t>Appendix A</w:t>
      </w:r>
    </w:p>
    <w:p w14:paraId="2D0DCF6D" w14:textId="7196B6F6" w:rsidR="000B4381" w:rsidRDefault="000B4381" w:rsidP="000B4381">
      <w:pPr>
        <w:pStyle w:val="Title"/>
        <w:jc w:val="left"/>
        <w:rPr>
          <w:sz w:val="32"/>
          <w:szCs w:val="32"/>
        </w:rPr>
      </w:pPr>
    </w:p>
    <w:p w14:paraId="3DF5EF95" w14:textId="76349629" w:rsidR="000B4381" w:rsidRPr="000B4381" w:rsidRDefault="000B4381" w:rsidP="000B4381">
      <w:pPr>
        <w:jc w:val="center"/>
        <w:rPr>
          <w:b/>
          <w:bCs/>
          <w:sz w:val="30"/>
          <w:szCs w:val="30"/>
          <w:lang w:eastAsia="en-GB"/>
        </w:rPr>
      </w:pPr>
      <w:r w:rsidRPr="000B4381">
        <w:rPr>
          <w:b/>
          <w:bCs/>
          <w:sz w:val="30"/>
          <w:szCs w:val="30"/>
          <w:lang w:eastAsia="en-GB"/>
        </w:rPr>
        <w:t>What to do if there is a Fire</w:t>
      </w:r>
    </w:p>
    <w:p w14:paraId="5A719FA6" w14:textId="1A79E968" w:rsidR="000B4381" w:rsidRDefault="000B4381" w:rsidP="000B4381">
      <w:pPr>
        <w:rPr>
          <w:lang w:eastAsia="en-GB"/>
        </w:rPr>
      </w:pPr>
      <w:r>
        <w:rPr>
          <w:lang w:eastAsia="en-GB"/>
        </w:rPr>
        <w:tab/>
      </w:r>
    </w:p>
    <w:p w14:paraId="51FBF3A7" w14:textId="0F35FC56" w:rsidR="000B4381" w:rsidRDefault="000B4381" w:rsidP="000B4381">
      <w:pPr>
        <w:pStyle w:val="ListParagraph"/>
        <w:numPr>
          <w:ilvl w:val="0"/>
          <w:numId w:val="11"/>
        </w:numPr>
        <w:rPr>
          <w:lang w:eastAsia="en-GB"/>
        </w:rPr>
      </w:pPr>
      <w:r>
        <w:rPr>
          <w:lang w:eastAsia="en-GB"/>
        </w:rPr>
        <w:t>Ring the bell and then:</w:t>
      </w:r>
    </w:p>
    <w:p w14:paraId="251E1ED3" w14:textId="0F91453E" w:rsidR="000B4381" w:rsidRDefault="000B4381" w:rsidP="000B4381">
      <w:pPr>
        <w:pStyle w:val="ListParagraph"/>
        <w:ind w:left="1080"/>
        <w:rPr>
          <w:lang w:eastAsia="en-GB"/>
        </w:rPr>
      </w:pPr>
    </w:p>
    <w:p w14:paraId="531A2507" w14:textId="3E26295E" w:rsidR="000B4381" w:rsidRDefault="000B4381" w:rsidP="000B4381">
      <w:pPr>
        <w:pStyle w:val="ListParagraph"/>
        <w:numPr>
          <w:ilvl w:val="0"/>
          <w:numId w:val="12"/>
        </w:numPr>
        <w:rPr>
          <w:lang w:eastAsia="en-GB"/>
        </w:rPr>
      </w:pPr>
      <w:r>
        <w:rPr>
          <w:lang w:eastAsia="en-GB"/>
        </w:rPr>
        <w:t>Shout FIRE, FIRE, FIRE</w:t>
      </w:r>
    </w:p>
    <w:p w14:paraId="590DC926" w14:textId="3CC4C93D" w:rsidR="000B4381" w:rsidRDefault="000B4381" w:rsidP="000B4381">
      <w:pPr>
        <w:pStyle w:val="ListParagraph"/>
        <w:numPr>
          <w:ilvl w:val="0"/>
          <w:numId w:val="12"/>
        </w:numPr>
        <w:rPr>
          <w:lang w:eastAsia="en-GB"/>
        </w:rPr>
      </w:pPr>
      <w:r>
        <w:rPr>
          <w:lang w:eastAsia="en-GB"/>
        </w:rPr>
        <w:t>Take the fire instructions attached to the bell.</w:t>
      </w:r>
    </w:p>
    <w:p w14:paraId="6468FEBA" w14:textId="2924D502" w:rsidR="000B4381" w:rsidRDefault="000B4381" w:rsidP="000B4381">
      <w:pPr>
        <w:pStyle w:val="ListParagraph"/>
        <w:numPr>
          <w:ilvl w:val="0"/>
          <w:numId w:val="12"/>
        </w:numPr>
        <w:rPr>
          <w:lang w:eastAsia="en-GB"/>
        </w:rPr>
      </w:pPr>
      <w:r>
        <w:rPr>
          <w:lang w:eastAsia="en-GB"/>
        </w:rPr>
        <w:t>Instruct everyone to leave immediately via:</w:t>
      </w:r>
    </w:p>
    <w:p w14:paraId="050C83F9" w14:textId="3F120036" w:rsidR="000B4381" w:rsidRDefault="000B4381" w:rsidP="000B4381">
      <w:pPr>
        <w:pStyle w:val="ListParagraph"/>
        <w:numPr>
          <w:ilvl w:val="1"/>
          <w:numId w:val="12"/>
        </w:numPr>
        <w:rPr>
          <w:lang w:eastAsia="en-GB"/>
        </w:rPr>
      </w:pPr>
      <w:r>
        <w:rPr>
          <w:lang w:eastAsia="en-GB"/>
        </w:rPr>
        <w:t>The main entrance door</w:t>
      </w:r>
    </w:p>
    <w:p w14:paraId="309EF67A" w14:textId="046E0783" w:rsidR="000B4381" w:rsidRDefault="000B4381" w:rsidP="000B4381">
      <w:pPr>
        <w:pStyle w:val="ListParagraph"/>
        <w:numPr>
          <w:ilvl w:val="1"/>
          <w:numId w:val="12"/>
        </w:numPr>
        <w:rPr>
          <w:lang w:eastAsia="en-GB"/>
        </w:rPr>
      </w:pPr>
      <w:r>
        <w:rPr>
          <w:lang w:eastAsia="en-GB"/>
        </w:rPr>
        <w:t>The emergency doors next to the stage</w:t>
      </w:r>
    </w:p>
    <w:p w14:paraId="0C22EEAE" w14:textId="71A0928B" w:rsidR="000B4381" w:rsidRDefault="000B4381" w:rsidP="000B4381">
      <w:pPr>
        <w:pStyle w:val="ListParagraph"/>
        <w:numPr>
          <w:ilvl w:val="1"/>
          <w:numId w:val="12"/>
        </w:numPr>
        <w:rPr>
          <w:lang w:eastAsia="en-GB"/>
        </w:rPr>
      </w:pPr>
      <w:r>
        <w:rPr>
          <w:lang w:eastAsia="en-GB"/>
        </w:rPr>
        <w:t>The rear doors out of the kitchen or the rear lobby, taking care to mind their heads due to low door height.</w:t>
      </w:r>
    </w:p>
    <w:p w14:paraId="3822DFE6" w14:textId="77777777" w:rsidR="000B4381" w:rsidRDefault="000B4381" w:rsidP="000B4381">
      <w:pPr>
        <w:pStyle w:val="ListParagraph"/>
        <w:ind w:left="2520"/>
        <w:rPr>
          <w:lang w:eastAsia="en-GB"/>
        </w:rPr>
      </w:pPr>
    </w:p>
    <w:p w14:paraId="40078945" w14:textId="2CF448B5" w:rsidR="000B4381" w:rsidRDefault="000B4381" w:rsidP="000B4381">
      <w:pPr>
        <w:pStyle w:val="ListParagraph"/>
        <w:numPr>
          <w:ilvl w:val="0"/>
          <w:numId w:val="11"/>
        </w:numPr>
        <w:rPr>
          <w:lang w:eastAsia="en-GB"/>
        </w:rPr>
      </w:pPr>
      <w:r>
        <w:rPr>
          <w:lang w:eastAsia="en-GB"/>
        </w:rPr>
        <w:t>Check that the Hall is empty then get out yourself, closing doors behind you if possible.</w:t>
      </w:r>
    </w:p>
    <w:p w14:paraId="32960C8A" w14:textId="77777777" w:rsidR="000B4381" w:rsidRDefault="000B4381" w:rsidP="000B4381">
      <w:pPr>
        <w:pStyle w:val="ListParagraph"/>
        <w:ind w:left="1080"/>
        <w:rPr>
          <w:lang w:eastAsia="en-GB"/>
        </w:rPr>
      </w:pPr>
    </w:p>
    <w:p w14:paraId="0E46433A" w14:textId="7FA7BDE6" w:rsidR="000B4381" w:rsidRDefault="000B4381" w:rsidP="000B4381">
      <w:pPr>
        <w:pStyle w:val="ListParagraph"/>
        <w:numPr>
          <w:ilvl w:val="0"/>
          <w:numId w:val="11"/>
        </w:numPr>
        <w:rPr>
          <w:lang w:eastAsia="en-GB"/>
        </w:rPr>
      </w:pPr>
      <w:r>
        <w:rPr>
          <w:lang w:eastAsia="en-GB"/>
        </w:rPr>
        <w:t>Ring 999 to call the Fire &amp; Rescue Service.  The Hall address is:</w:t>
      </w:r>
    </w:p>
    <w:p w14:paraId="612D2E3E" w14:textId="24A38A4E" w:rsidR="000B4381" w:rsidRDefault="000B4381" w:rsidP="000B4381">
      <w:pPr>
        <w:pStyle w:val="ListParagraph"/>
        <w:ind w:left="1080"/>
        <w:rPr>
          <w:lang w:eastAsia="en-GB"/>
        </w:rPr>
      </w:pPr>
      <w:r>
        <w:rPr>
          <w:lang w:eastAsia="en-GB"/>
        </w:rPr>
        <w:t>22 Catisfield Lane PO15 5NN.</w:t>
      </w:r>
    </w:p>
    <w:p w14:paraId="30FDA775" w14:textId="77777777" w:rsidR="000B4381" w:rsidRDefault="000B4381" w:rsidP="000B4381">
      <w:pPr>
        <w:pStyle w:val="ListParagraph"/>
        <w:ind w:left="1080"/>
        <w:rPr>
          <w:lang w:eastAsia="en-GB"/>
        </w:rPr>
      </w:pPr>
    </w:p>
    <w:p w14:paraId="23177ACC" w14:textId="0E0DF42C" w:rsidR="000B4381" w:rsidRDefault="000B4381" w:rsidP="000B4381">
      <w:pPr>
        <w:pStyle w:val="ListParagraph"/>
        <w:numPr>
          <w:ilvl w:val="0"/>
          <w:numId w:val="11"/>
        </w:numPr>
        <w:rPr>
          <w:lang w:eastAsia="en-GB"/>
        </w:rPr>
      </w:pPr>
      <w:r>
        <w:rPr>
          <w:lang w:eastAsia="en-GB"/>
        </w:rPr>
        <w:t>Safety of people is more important than the building and its contents. Only try to use the fire extinguishers in the entrance lobby or on the left of the stage if it is safe to do so.</w:t>
      </w:r>
    </w:p>
    <w:p w14:paraId="485CE618" w14:textId="77777777" w:rsidR="000B4381" w:rsidRDefault="000B4381" w:rsidP="000B4381">
      <w:pPr>
        <w:pStyle w:val="ListParagraph"/>
        <w:ind w:left="1080"/>
        <w:rPr>
          <w:lang w:eastAsia="en-GB"/>
        </w:rPr>
      </w:pPr>
    </w:p>
    <w:p w14:paraId="2510EF90" w14:textId="46710B59" w:rsidR="000B4381" w:rsidRDefault="000B4381" w:rsidP="00233367">
      <w:pPr>
        <w:pStyle w:val="ListParagraph"/>
        <w:numPr>
          <w:ilvl w:val="0"/>
          <w:numId w:val="11"/>
        </w:numPr>
        <w:rPr>
          <w:lang w:eastAsia="en-GB"/>
        </w:rPr>
      </w:pPr>
      <w:r>
        <w:rPr>
          <w:lang w:eastAsia="en-GB"/>
        </w:rPr>
        <w:t xml:space="preserve">Get everyone together at the Meeting Point (in front of the sheds to the right of the Hall) </w:t>
      </w:r>
    </w:p>
    <w:p w14:paraId="623EFA30" w14:textId="77777777" w:rsidR="000B4381" w:rsidRDefault="000B4381" w:rsidP="000B4381">
      <w:pPr>
        <w:pStyle w:val="ListParagraph"/>
        <w:ind w:left="1080"/>
        <w:rPr>
          <w:lang w:eastAsia="en-GB"/>
        </w:rPr>
      </w:pPr>
    </w:p>
    <w:p w14:paraId="2F2BE6B2" w14:textId="79CD207B" w:rsidR="000B4381" w:rsidRDefault="000B4381" w:rsidP="000B4381">
      <w:pPr>
        <w:pStyle w:val="ListParagraph"/>
        <w:numPr>
          <w:ilvl w:val="0"/>
          <w:numId w:val="11"/>
        </w:numPr>
        <w:rPr>
          <w:lang w:eastAsia="en-GB"/>
        </w:rPr>
      </w:pPr>
      <w:r>
        <w:rPr>
          <w:lang w:eastAsia="en-GB"/>
        </w:rPr>
        <w:t>Check to see if there is anyone missing.</w:t>
      </w:r>
    </w:p>
    <w:p w14:paraId="13AD0001" w14:textId="77777777" w:rsidR="000B4381" w:rsidRDefault="000B4381" w:rsidP="000B4381">
      <w:pPr>
        <w:pStyle w:val="ListParagraph"/>
        <w:rPr>
          <w:lang w:eastAsia="en-GB"/>
        </w:rPr>
      </w:pPr>
    </w:p>
    <w:p w14:paraId="50098FA0" w14:textId="23C0BDD2" w:rsidR="000B4381" w:rsidRDefault="000B4381" w:rsidP="000B4381">
      <w:pPr>
        <w:pStyle w:val="ListParagraph"/>
        <w:numPr>
          <w:ilvl w:val="0"/>
          <w:numId w:val="11"/>
        </w:numPr>
        <w:rPr>
          <w:lang w:eastAsia="en-GB"/>
        </w:rPr>
      </w:pPr>
      <w:r>
        <w:rPr>
          <w:lang w:eastAsia="en-GB"/>
        </w:rPr>
        <w:t>Stop anyone going back into the Hall.</w:t>
      </w:r>
    </w:p>
    <w:p w14:paraId="6B1BC1DD" w14:textId="77777777" w:rsidR="000B4381" w:rsidRDefault="000B4381" w:rsidP="000B4381">
      <w:pPr>
        <w:pStyle w:val="ListParagraph"/>
        <w:rPr>
          <w:lang w:eastAsia="en-GB"/>
        </w:rPr>
      </w:pPr>
    </w:p>
    <w:p w14:paraId="521839B0" w14:textId="323D2ED0" w:rsidR="000B4381" w:rsidRPr="000B4381" w:rsidRDefault="000B4381" w:rsidP="000B4381">
      <w:pPr>
        <w:pStyle w:val="ListParagraph"/>
        <w:numPr>
          <w:ilvl w:val="0"/>
          <w:numId w:val="11"/>
        </w:numPr>
        <w:rPr>
          <w:lang w:eastAsia="en-GB"/>
        </w:rPr>
      </w:pPr>
      <w:r>
        <w:rPr>
          <w:lang w:eastAsia="en-GB"/>
        </w:rPr>
        <w:t>Tell the Fire Officer if anyone is missing and when they were last seen.</w:t>
      </w:r>
    </w:p>
    <w:p w14:paraId="29B3DCA6" w14:textId="77777777" w:rsidR="00C905C6" w:rsidRPr="00C905C6" w:rsidRDefault="00C905C6" w:rsidP="00C905C6">
      <w:pPr>
        <w:rPr>
          <w:lang w:eastAsia="en-GB"/>
        </w:rPr>
      </w:pPr>
    </w:p>
    <w:p w14:paraId="7C4006A2" w14:textId="77777777" w:rsidR="00C905C6" w:rsidRDefault="00C905C6" w:rsidP="002232E5">
      <w:pPr>
        <w:ind w:left="720"/>
        <w:rPr>
          <w:lang w:eastAsia="en-GB"/>
        </w:rPr>
      </w:pPr>
    </w:p>
    <w:p w14:paraId="60CA8023" w14:textId="77777777" w:rsidR="002232E5" w:rsidRPr="002232E5" w:rsidRDefault="002232E5" w:rsidP="002232E5">
      <w:pPr>
        <w:rPr>
          <w:lang w:eastAsia="en-GB"/>
        </w:rPr>
      </w:pPr>
    </w:p>
    <w:p w14:paraId="2A6F11CC" w14:textId="77777777" w:rsidR="002232E5" w:rsidRPr="002232E5" w:rsidRDefault="002232E5" w:rsidP="002232E5">
      <w:pPr>
        <w:ind w:left="720"/>
        <w:rPr>
          <w:lang w:eastAsia="en-GB"/>
        </w:rPr>
      </w:pPr>
    </w:p>
    <w:p w14:paraId="1CD19556" w14:textId="2F5ABED6" w:rsidR="0005793E" w:rsidRDefault="0005793E" w:rsidP="0005793E">
      <w:pPr>
        <w:pStyle w:val="BodyText"/>
        <w:rPr>
          <w:lang w:eastAsia="en-GB"/>
        </w:rPr>
      </w:pPr>
    </w:p>
    <w:p w14:paraId="36A08DDF" w14:textId="77777777" w:rsidR="000B4381" w:rsidRDefault="000B4381">
      <w:pPr>
        <w:rPr>
          <w:rFonts w:ascii="Arial" w:eastAsia="Arial Unicode MS" w:hAnsi="Arial" w:cs="Tahoma"/>
          <w:b/>
          <w:color w:val="579D1C"/>
          <w:kern w:val="1"/>
          <w:sz w:val="48"/>
          <w:szCs w:val="28"/>
          <w:lang w:eastAsia="en-GB"/>
        </w:rPr>
      </w:pPr>
      <w:r>
        <w:br w:type="page"/>
      </w:r>
    </w:p>
    <w:p w14:paraId="27F20665" w14:textId="1EF4F67B" w:rsidR="00171603" w:rsidRPr="008B1622" w:rsidRDefault="00171603" w:rsidP="00171603">
      <w:pPr>
        <w:pStyle w:val="Heading"/>
        <w:jc w:val="center"/>
        <w:rPr>
          <w:bCs/>
          <w:color w:val="FFFFFF"/>
          <w:sz w:val="20"/>
          <w:szCs w:val="20"/>
        </w:rPr>
      </w:pPr>
      <w:r w:rsidRPr="008B1622">
        <w:lastRenderedPageBreak/>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171603" w:rsidRPr="00871A46" w14:paraId="2B3F5C55" w14:textId="77777777" w:rsidTr="00CE2960">
        <w:tc>
          <w:tcPr>
            <w:tcW w:w="1755" w:type="dxa"/>
            <w:tcBorders>
              <w:top w:val="single" w:sz="8" w:space="0" w:color="000000"/>
              <w:left w:val="single" w:sz="8" w:space="0" w:color="000000"/>
              <w:bottom w:val="single" w:sz="4" w:space="0" w:color="000000"/>
            </w:tcBorders>
            <w:shd w:val="clear" w:color="auto" w:fill="579D1C"/>
          </w:tcPr>
          <w:p w14:paraId="0AEC116F"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1D658068"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59FBC848" w14:textId="77777777" w:rsidR="00171603" w:rsidRPr="00871A46" w:rsidRDefault="00171603" w:rsidP="00CE2960">
            <w:pPr>
              <w:pStyle w:val="TableContents"/>
              <w:spacing w:before="0"/>
              <w:rPr>
                <w:b/>
                <w:color w:val="FFFFFF" w:themeColor="background1"/>
                <w:sz w:val="20"/>
                <w:szCs w:val="20"/>
              </w:rPr>
            </w:pPr>
            <w:r w:rsidRPr="00871A46">
              <w:rPr>
                <w:b/>
                <w:color w:val="FFFFFF" w:themeColor="background1"/>
                <w:sz w:val="20"/>
                <w:szCs w:val="20"/>
              </w:rPr>
              <w:t>Comments:</w:t>
            </w:r>
          </w:p>
        </w:tc>
      </w:tr>
      <w:tr w:rsidR="00171603" w:rsidRPr="008B1622" w14:paraId="72EC5952" w14:textId="77777777" w:rsidTr="00CE2960">
        <w:tc>
          <w:tcPr>
            <w:tcW w:w="1755" w:type="dxa"/>
            <w:tcBorders>
              <w:left w:val="single" w:sz="8" w:space="0" w:color="000000"/>
              <w:bottom w:val="single" w:sz="4" w:space="0" w:color="000000"/>
            </w:tcBorders>
            <w:shd w:val="clear" w:color="auto" w:fill="auto"/>
          </w:tcPr>
          <w:p w14:paraId="38C5EB1E" w14:textId="35BCE22E" w:rsidR="00171603" w:rsidRPr="008B1622" w:rsidRDefault="00171603" w:rsidP="00CE2960">
            <w:pPr>
              <w:pStyle w:val="TableContents"/>
              <w:jc w:val="center"/>
            </w:pPr>
            <w:r>
              <w:t>1 August 2017</w:t>
            </w:r>
          </w:p>
        </w:tc>
        <w:tc>
          <w:tcPr>
            <w:tcW w:w="1506" w:type="dxa"/>
            <w:tcBorders>
              <w:left w:val="single" w:sz="4" w:space="0" w:color="000000"/>
              <w:bottom w:val="single" w:sz="4" w:space="0" w:color="000000"/>
            </w:tcBorders>
            <w:shd w:val="clear" w:color="auto" w:fill="auto"/>
          </w:tcPr>
          <w:p w14:paraId="1BD9A741" w14:textId="2710FFD9" w:rsidR="00171603" w:rsidRPr="008B1622" w:rsidRDefault="00171603" w:rsidP="00CE2960">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07F23BCA" w14:textId="5E035C4E" w:rsidR="00171603" w:rsidRPr="008B1622" w:rsidRDefault="00171603" w:rsidP="00CE2960">
            <w:pPr>
              <w:pStyle w:val="TableContents"/>
            </w:pPr>
          </w:p>
        </w:tc>
      </w:tr>
      <w:tr w:rsidR="00171603" w:rsidRPr="008B1622" w14:paraId="14BE4798" w14:textId="77777777" w:rsidTr="00CE2960">
        <w:tc>
          <w:tcPr>
            <w:tcW w:w="1755" w:type="dxa"/>
            <w:tcBorders>
              <w:left w:val="single" w:sz="8" w:space="0" w:color="000000"/>
              <w:bottom w:val="single" w:sz="4" w:space="0" w:color="000000"/>
            </w:tcBorders>
            <w:shd w:val="clear" w:color="auto" w:fill="auto"/>
          </w:tcPr>
          <w:p w14:paraId="702B8DAE" w14:textId="77777777" w:rsidR="00171603" w:rsidRPr="008B1622" w:rsidRDefault="00171603" w:rsidP="00CE2960">
            <w:pPr>
              <w:pStyle w:val="TableContents"/>
              <w:jc w:val="center"/>
            </w:pPr>
          </w:p>
        </w:tc>
        <w:tc>
          <w:tcPr>
            <w:tcW w:w="1506" w:type="dxa"/>
            <w:tcBorders>
              <w:left w:val="single" w:sz="4" w:space="0" w:color="000000"/>
              <w:bottom w:val="single" w:sz="4" w:space="0" w:color="000000"/>
            </w:tcBorders>
            <w:shd w:val="clear" w:color="auto" w:fill="auto"/>
          </w:tcPr>
          <w:p w14:paraId="51E745D2" w14:textId="77777777" w:rsidR="00171603" w:rsidRPr="008B1622" w:rsidRDefault="00171603" w:rsidP="00CE2960">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06E5BA3" w14:textId="77777777" w:rsidR="00171603" w:rsidRPr="008B1622" w:rsidRDefault="00171603" w:rsidP="00CE2960">
            <w:pPr>
              <w:pStyle w:val="TableContents"/>
            </w:pPr>
          </w:p>
        </w:tc>
      </w:tr>
      <w:tr w:rsidR="00171603" w:rsidRPr="008B1622" w14:paraId="3DD5D3FD" w14:textId="77777777" w:rsidTr="00CE2960">
        <w:tc>
          <w:tcPr>
            <w:tcW w:w="1755" w:type="dxa"/>
            <w:tcBorders>
              <w:left w:val="single" w:sz="8" w:space="0" w:color="000000"/>
              <w:bottom w:val="single" w:sz="4" w:space="0" w:color="000000"/>
            </w:tcBorders>
            <w:shd w:val="clear" w:color="auto" w:fill="auto"/>
          </w:tcPr>
          <w:p w14:paraId="62CD61B7" w14:textId="77777777" w:rsidR="00171603" w:rsidRPr="008B1622" w:rsidRDefault="00171603" w:rsidP="00CE2960">
            <w:pPr>
              <w:pStyle w:val="TableContents"/>
              <w:jc w:val="center"/>
            </w:pPr>
          </w:p>
        </w:tc>
        <w:tc>
          <w:tcPr>
            <w:tcW w:w="1506" w:type="dxa"/>
            <w:tcBorders>
              <w:left w:val="single" w:sz="4" w:space="0" w:color="000000"/>
              <w:bottom w:val="single" w:sz="4" w:space="0" w:color="000000"/>
            </w:tcBorders>
            <w:shd w:val="clear" w:color="auto" w:fill="auto"/>
          </w:tcPr>
          <w:p w14:paraId="7C2A9EF7" w14:textId="77777777" w:rsidR="00171603" w:rsidRPr="008B1622" w:rsidRDefault="00171603" w:rsidP="00CE2960">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0A2162BE" w14:textId="77777777" w:rsidR="00171603" w:rsidRPr="008B1622" w:rsidRDefault="00171603" w:rsidP="00CE2960">
            <w:pPr>
              <w:pStyle w:val="TableContents"/>
            </w:pPr>
          </w:p>
        </w:tc>
      </w:tr>
      <w:tr w:rsidR="00171603" w:rsidRPr="008B1622" w14:paraId="57D04B9E" w14:textId="77777777" w:rsidTr="00CE2960">
        <w:tc>
          <w:tcPr>
            <w:tcW w:w="1755" w:type="dxa"/>
            <w:tcBorders>
              <w:left w:val="single" w:sz="8" w:space="0" w:color="000000"/>
              <w:bottom w:val="single" w:sz="8" w:space="0" w:color="000000"/>
            </w:tcBorders>
            <w:shd w:val="clear" w:color="auto" w:fill="auto"/>
          </w:tcPr>
          <w:p w14:paraId="4F3256E5"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93C5BB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B968098" w14:textId="77777777" w:rsidR="00171603" w:rsidRPr="008B1622" w:rsidRDefault="00171603" w:rsidP="00CE2960">
            <w:pPr>
              <w:pStyle w:val="TableContents"/>
            </w:pPr>
          </w:p>
        </w:tc>
      </w:tr>
      <w:tr w:rsidR="00171603" w:rsidRPr="008B1622" w14:paraId="581C3E7A" w14:textId="77777777" w:rsidTr="00CE2960">
        <w:tc>
          <w:tcPr>
            <w:tcW w:w="1755" w:type="dxa"/>
            <w:tcBorders>
              <w:left w:val="single" w:sz="8" w:space="0" w:color="000000"/>
              <w:bottom w:val="single" w:sz="8" w:space="0" w:color="000000"/>
            </w:tcBorders>
            <w:shd w:val="clear" w:color="auto" w:fill="auto"/>
          </w:tcPr>
          <w:p w14:paraId="6CF1C4B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215666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A06F61B" w14:textId="77777777" w:rsidR="00171603" w:rsidRPr="008B1622" w:rsidRDefault="00171603" w:rsidP="00CE2960">
            <w:pPr>
              <w:pStyle w:val="TableContents"/>
            </w:pPr>
          </w:p>
        </w:tc>
      </w:tr>
      <w:tr w:rsidR="00171603" w:rsidRPr="008B1622" w14:paraId="7D0546C2" w14:textId="77777777" w:rsidTr="00CE2960">
        <w:tc>
          <w:tcPr>
            <w:tcW w:w="1755" w:type="dxa"/>
            <w:tcBorders>
              <w:left w:val="single" w:sz="8" w:space="0" w:color="000000"/>
              <w:bottom w:val="single" w:sz="8" w:space="0" w:color="000000"/>
            </w:tcBorders>
            <w:shd w:val="clear" w:color="auto" w:fill="auto"/>
          </w:tcPr>
          <w:p w14:paraId="4E95B1E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D6ADC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9D49FDA" w14:textId="77777777" w:rsidR="00171603" w:rsidRPr="008B1622" w:rsidRDefault="00171603" w:rsidP="00CE2960">
            <w:pPr>
              <w:pStyle w:val="TableContents"/>
            </w:pPr>
          </w:p>
        </w:tc>
      </w:tr>
      <w:tr w:rsidR="00171603" w:rsidRPr="008B1622" w14:paraId="2CD7D9AA" w14:textId="77777777" w:rsidTr="00CE2960">
        <w:tc>
          <w:tcPr>
            <w:tcW w:w="1755" w:type="dxa"/>
            <w:tcBorders>
              <w:left w:val="single" w:sz="8" w:space="0" w:color="000000"/>
              <w:bottom w:val="single" w:sz="8" w:space="0" w:color="000000"/>
            </w:tcBorders>
            <w:shd w:val="clear" w:color="auto" w:fill="auto"/>
          </w:tcPr>
          <w:p w14:paraId="4E78752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E32B8D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AEB3832" w14:textId="77777777" w:rsidR="00171603" w:rsidRPr="008B1622" w:rsidRDefault="00171603" w:rsidP="00CE2960">
            <w:pPr>
              <w:pStyle w:val="TableContents"/>
            </w:pPr>
          </w:p>
        </w:tc>
      </w:tr>
      <w:tr w:rsidR="00171603" w:rsidRPr="008B1622" w14:paraId="058137A0" w14:textId="77777777" w:rsidTr="00CE2960">
        <w:tc>
          <w:tcPr>
            <w:tcW w:w="1755" w:type="dxa"/>
            <w:tcBorders>
              <w:left w:val="single" w:sz="8" w:space="0" w:color="000000"/>
              <w:bottom w:val="single" w:sz="8" w:space="0" w:color="000000"/>
            </w:tcBorders>
            <w:shd w:val="clear" w:color="auto" w:fill="auto"/>
          </w:tcPr>
          <w:p w14:paraId="6FC6203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ECE55BE"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CBC0E65" w14:textId="77777777" w:rsidR="00171603" w:rsidRPr="008B1622" w:rsidRDefault="00171603" w:rsidP="00CE2960">
            <w:pPr>
              <w:pStyle w:val="TableContents"/>
            </w:pPr>
          </w:p>
        </w:tc>
      </w:tr>
      <w:tr w:rsidR="00171603" w:rsidRPr="008B1622" w14:paraId="39C237CA" w14:textId="77777777" w:rsidTr="00CE2960">
        <w:tc>
          <w:tcPr>
            <w:tcW w:w="1755" w:type="dxa"/>
            <w:tcBorders>
              <w:left w:val="single" w:sz="8" w:space="0" w:color="000000"/>
              <w:bottom w:val="single" w:sz="8" w:space="0" w:color="000000"/>
            </w:tcBorders>
            <w:shd w:val="clear" w:color="auto" w:fill="auto"/>
          </w:tcPr>
          <w:p w14:paraId="493F9D3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87F0147"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B60C069" w14:textId="77777777" w:rsidR="00171603" w:rsidRPr="008B1622" w:rsidRDefault="00171603" w:rsidP="00CE2960">
            <w:pPr>
              <w:pStyle w:val="TableContents"/>
            </w:pPr>
          </w:p>
        </w:tc>
      </w:tr>
      <w:tr w:rsidR="00171603" w:rsidRPr="008B1622" w14:paraId="66E79B77" w14:textId="77777777" w:rsidTr="00CE2960">
        <w:tc>
          <w:tcPr>
            <w:tcW w:w="1755" w:type="dxa"/>
            <w:tcBorders>
              <w:left w:val="single" w:sz="8" w:space="0" w:color="000000"/>
              <w:bottom w:val="single" w:sz="8" w:space="0" w:color="000000"/>
            </w:tcBorders>
            <w:shd w:val="clear" w:color="auto" w:fill="auto"/>
          </w:tcPr>
          <w:p w14:paraId="6AE30A5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31069C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B787F5" w14:textId="77777777" w:rsidR="00171603" w:rsidRPr="008B1622" w:rsidRDefault="00171603" w:rsidP="00CE2960">
            <w:pPr>
              <w:pStyle w:val="TableContents"/>
            </w:pPr>
          </w:p>
        </w:tc>
      </w:tr>
      <w:tr w:rsidR="00171603" w:rsidRPr="008B1622" w14:paraId="58FA3D45" w14:textId="77777777" w:rsidTr="00CE2960">
        <w:tc>
          <w:tcPr>
            <w:tcW w:w="1755" w:type="dxa"/>
            <w:tcBorders>
              <w:left w:val="single" w:sz="8" w:space="0" w:color="000000"/>
              <w:bottom w:val="single" w:sz="8" w:space="0" w:color="000000"/>
            </w:tcBorders>
            <w:shd w:val="clear" w:color="auto" w:fill="auto"/>
          </w:tcPr>
          <w:p w14:paraId="5E441FC9"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6845003"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CFE75CE" w14:textId="77777777" w:rsidR="00171603" w:rsidRPr="008B1622" w:rsidRDefault="00171603" w:rsidP="00CE2960">
            <w:pPr>
              <w:pStyle w:val="TableContents"/>
            </w:pPr>
          </w:p>
        </w:tc>
      </w:tr>
      <w:tr w:rsidR="00171603" w:rsidRPr="008B1622" w14:paraId="741A61A5" w14:textId="77777777" w:rsidTr="00CE2960">
        <w:tc>
          <w:tcPr>
            <w:tcW w:w="1755" w:type="dxa"/>
            <w:tcBorders>
              <w:left w:val="single" w:sz="8" w:space="0" w:color="000000"/>
              <w:bottom w:val="single" w:sz="8" w:space="0" w:color="000000"/>
            </w:tcBorders>
            <w:shd w:val="clear" w:color="auto" w:fill="auto"/>
          </w:tcPr>
          <w:p w14:paraId="130D6D5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527697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4058DB6" w14:textId="77777777" w:rsidR="00171603" w:rsidRPr="008B1622" w:rsidRDefault="00171603" w:rsidP="00CE2960">
            <w:pPr>
              <w:pStyle w:val="TableContents"/>
            </w:pPr>
          </w:p>
        </w:tc>
      </w:tr>
      <w:tr w:rsidR="00171603" w:rsidRPr="008B1622" w14:paraId="722FEC4D" w14:textId="77777777" w:rsidTr="00CE2960">
        <w:tc>
          <w:tcPr>
            <w:tcW w:w="1755" w:type="dxa"/>
            <w:tcBorders>
              <w:left w:val="single" w:sz="8" w:space="0" w:color="000000"/>
              <w:bottom w:val="single" w:sz="8" w:space="0" w:color="000000"/>
            </w:tcBorders>
            <w:shd w:val="clear" w:color="auto" w:fill="auto"/>
          </w:tcPr>
          <w:p w14:paraId="3320F1A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1E441B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CB977A5" w14:textId="77777777" w:rsidR="00171603" w:rsidRPr="008B1622" w:rsidRDefault="00171603" w:rsidP="00CE2960">
            <w:pPr>
              <w:pStyle w:val="TableContents"/>
            </w:pPr>
          </w:p>
        </w:tc>
      </w:tr>
      <w:tr w:rsidR="00171603" w:rsidRPr="008B1622" w14:paraId="37ACC975" w14:textId="77777777" w:rsidTr="00CE2960">
        <w:tc>
          <w:tcPr>
            <w:tcW w:w="1755" w:type="dxa"/>
            <w:tcBorders>
              <w:left w:val="single" w:sz="8" w:space="0" w:color="000000"/>
              <w:bottom w:val="single" w:sz="8" w:space="0" w:color="000000"/>
            </w:tcBorders>
            <w:shd w:val="clear" w:color="auto" w:fill="auto"/>
          </w:tcPr>
          <w:p w14:paraId="33892D7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0A168C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B3D3F29" w14:textId="77777777" w:rsidR="00171603" w:rsidRPr="008B1622" w:rsidRDefault="00171603" w:rsidP="00CE2960">
            <w:pPr>
              <w:pStyle w:val="TableContents"/>
            </w:pPr>
          </w:p>
        </w:tc>
      </w:tr>
      <w:tr w:rsidR="00171603" w:rsidRPr="008B1622" w14:paraId="753D897F" w14:textId="77777777" w:rsidTr="00CE2960">
        <w:tc>
          <w:tcPr>
            <w:tcW w:w="1755" w:type="dxa"/>
            <w:tcBorders>
              <w:left w:val="single" w:sz="8" w:space="0" w:color="000000"/>
              <w:bottom w:val="single" w:sz="8" w:space="0" w:color="000000"/>
            </w:tcBorders>
            <w:shd w:val="clear" w:color="auto" w:fill="auto"/>
          </w:tcPr>
          <w:p w14:paraId="7AB964DE"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55F90E9"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E4702A7" w14:textId="77777777" w:rsidR="00171603" w:rsidRPr="008B1622" w:rsidRDefault="00171603" w:rsidP="00CE2960">
            <w:pPr>
              <w:pStyle w:val="TableContents"/>
            </w:pPr>
          </w:p>
        </w:tc>
      </w:tr>
      <w:tr w:rsidR="00171603" w:rsidRPr="008B1622" w14:paraId="6FB131F5" w14:textId="77777777" w:rsidTr="00CE2960">
        <w:tc>
          <w:tcPr>
            <w:tcW w:w="1755" w:type="dxa"/>
            <w:tcBorders>
              <w:left w:val="single" w:sz="8" w:space="0" w:color="000000"/>
              <w:bottom w:val="single" w:sz="8" w:space="0" w:color="000000"/>
            </w:tcBorders>
            <w:shd w:val="clear" w:color="auto" w:fill="auto"/>
          </w:tcPr>
          <w:p w14:paraId="54D0BC4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6D2F1D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59491FB" w14:textId="77777777" w:rsidR="00171603" w:rsidRPr="008B1622" w:rsidRDefault="00171603" w:rsidP="00CE2960">
            <w:pPr>
              <w:pStyle w:val="TableContents"/>
            </w:pPr>
          </w:p>
        </w:tc>
      </w:tr>
      <w:tr w:rsidR="00171603" w:rsidRPr="008B1622" w14:paraId="7A107C2C" w14:textId="77777777" w:rsidTr="00CE2960">
        <w:tc>
          <w:tcPr>
            <w:tcW w:w="1755" w:type="dxa"/>
            <w:tcBorders>
              <w:left w:val="single" w:sz="8" w:space="0" w:color="000000"/>
              <w:bottom w:val="single" w:sz="8" w:space="0" w:color="000000"/>
            </w:tcBorders>
            <w:shd w:val="clear" w:color="auto" w:fill="auto"/>
          </w:tcPr>
          <w:p w14:paraId="7BD673C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D25333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2BE582" w14:textId="77777777" w:rsidR="00171603" w:rsidRPr="008B1622" w:rsidRDefault="00171603" w:rsidP="00CE2960">
            <w:pPr>
              <w:pStyle w:val="TableContents"/>
            </w:pPr>
          </w:p>
        </w:tc>
      </w:tr>
      <w:tr w:rsidR="00171603" w:rsidRPr="008B1622" w14:paraId="420060A7" w14:textId="77777777" w:rsidTr="00CE2960">
        <w:tc>
          <w:tcPr>
            <w:tcW w:w="1755" w:type="dxa"/>
            <w:tcBorders>
              <w:left w:val="single" w:sz="8" w:space="0" w:color="000000"/>
              <w:bottom w:val="single" w:sz="8" w:space="0" w:color="000000"/>
            </w:tcBorders>
            <w:shd w:val="clear" w:color="auto" w:fill="auto"/>
          </w:tcPr>
          <w:p w14:paraId="65789CE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28C3C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EC86E9" w14:textId="77777777" w:rsidR="00171603" w:rsidRPr="008B1622" w:rsidRDefault="00171603" w:rsidP="00CE2960">
            <w:pPr>
              <w:pStyle w:val="TableContents"/>
            </w:pPr>
          </w:p>
        </w:tc>
      </w:tr>
      <w:tr w:rsidR="00171603" w:rsidRPr="008B1622" w14:paraId="34B9701D" w14:textId="77777777" w:rsidTr="00CE2960">
        <w:tc>
          <w:tcPr>
            <w:tcW w:w="1755" w:type="dxa"/>
            <w:tcBorders>
              <w:left w:val="single" w:sz="8" w:space="0" w:color="000000"/>
              <w:bottom w:val="single" w:sz="8" w:space="0" w:color="000000"/>
            </w:tcBorders>
            <w:shd w:val="clear" w:color="auto" w:fill="auto"/>
          </w:tcPr>
          <w:p w14:paraId="2388AF80"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4DC18A4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4E1C7C4" w14:textId="77777777" w:rsidR="00171603" w:rsidRPr="008B1622" w:rsidRDefault="00171603" w:rsidP="00CE2960">
            <w:pPr>
              <w:pStyle w:val="TableContents"/>
            </w:pPr>
          </w:p>
        </w:tc>
      </w:tr>
      <w:tr w:rsidR="00171603" w:rsidRPr="008B1622" w14:paraId="7BA9C086" w14:textId="77777777" w:rsidTr="00CE2960">
        <w:tc>
          <w:tcPr>
            <w:tcW w:w="1755" w:type="dxa"/>
            <w:tcBorders>
              <w:left w:val="single" w:sz="8" w:space="0" w:color="000000"/>
              <w:bottom w:val="single" w:sz="8" w:space="0" w:color="000000"/>
            </w:tcBorders>
            <w:shd w:val="clear" w:color="auto" w:fill="auto"/>
          </w:tcPr>
          <w:p w14:paraId="490ECE12"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804519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8BB11E1" w14:textId="77777777" w:rsidR="00171603" w:rsidRPr="008B1622" w:rsidRDefault="00171603" w:rsidP="00CE2960">
            <w:pPr>
              <w:pStyle w:val="TableContents"/>
            </w:pPr>
          </w:p>
        </w:tc>
      </w:tr>
      <w:tr w:rsidR="00171603" w:rsidRPr="008B1622" w14:paraId="0A6C5120" w14:textId="77777777" w:rsidTr="00CE2960">
        <w:tc>
          <w:tcPr>
            <w:tcW w:w="1755" w:type="dxa"/>
            <w:tcBorders>
              <w:left w:val="single" w:sz="8" w:space="0" w:color="000000"/>
              <w:bottom w:val="single" w:sz="8" w:space="0" w:color="000000"/>
            </w:tcBorders>
            <w:shd w:val="clear" w:color="auto" w:fill="auto"/>
          </w:tcPr>
          <w:p w14:paraId="3A4BC21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761343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1DB9C3" w14:textId="77777777" w:rsidR="00171603" w:rsidRPr="008B1622" w:rsidRDefault="00171603" w:rsidP="00CE2960">
            <w:pPr>
              <w:pStyle w:val="TableContents"/>
            </w:pPr>
          </w:p>
        </w:tc>
      </w:tr>
      <w:tr w:rsidR="00171603" w:rsidRPr="008B1622" w14:paraId="137EB61F" w14:textId="77777777" w:rsidTr="00CE2960">
        <w:tc>
          <w:tcPr>
            <w:tcW w:w="1755" w:type="dxa"/>
            <w:tcBorders>
              <w:left w:val="single" w:sz="8" w:space="0" w:color="000000"/>
              <w:bottom w:val="single" w:sz="8" w:space="0" w:color="000000"/>
            </w:tcBorders>
            <w:shd w:val="clear" w:color="auto" w:fill="auto"/>
          </w:tcPr>
          <w:p w14:paraId="7870DF9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D3E68B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440B9E" w14:textId="77777777" w:rsidR="00171603" w:rsidRPr="008B1622" w:rsidRDefault="00171603" w:rsidP="00CE2960">
            <w:pPr>
              <w:pStyle w:val="TableContents"/>
            </w:pPr>
          </w:p>
        </w:tc>
      </w:tr>
      <w:tr w:rsidR="00171603" w:rsidRPr="008B1622" w14:paraId="22DA6670" w14:textId="77777777" w:rsidTr="00CE2960">
        <w:tc>
          <w:tcPr>
            <w:tcW w:w="1755" w:type="dxa"/>
            <w:tcBorders>
              <w:left w:val="single" w:sz="8" w:space="0" w:color="000000"/>
              <w:bottom w:val="single" w:sz="8" w:space="0" w:color="000000"/>
            </w:tcBorders>
            <w:shd w:val="clear" w:color="auto" w:fill="auto"/>
          </w:tcPr>
          <w:p w14:paraId="7F1D715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7920BA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8D5884B" w14:textId="77777777" w:rsidR="00171603" w:rsidRPr="008B1622" w:rsidRDefault="00171603" w:rsidP="00CE2960">
            <w:pPr>
              <w:pStyle w:val="TableContents"/>
            </w:pPr>
          </w:p>
        </w:tc>
      </w:tr>
      <w:tr w:rsidR="00171603" w:rsidRPr="008B1622" w14:paraId="76E32142" w14:textId="77777777" w:rsidTr="00CE2960">
        <w:tc>
          <w:tcPr>
            <w:tcW w:w="1755" w:type="dxa"/>
            <w:tcBorders>
              <w:left w:val="single" w:sz="8" w:space="0" w:color="000000"/>
              <w:bottom w:val="single" w:sz="8" w:space="0" w:color="000000"/>
            </w:tcBorders>
            <w:shd w:val="clear" w:color="auto" w:fill="auto"/>
          </w:tcPr>
          <w:p w14:paraId="2F988B3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A217D1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1C9D452" w14:textId="77777777" w:rsidR="00171603" w:rsidRPr="008B1622" w:rsidRDefault="00171603" w:rsidP="00CE2960">
            <w:pPr>
              <w:pStyle w:val="TableContents"/>
            </w:pPr>
          </w:p>
        </w:tc>
      </w:tr>
      <w:tr w:rsidR="00171603" w:rsidRPr="008B1622" w14:paraId="2C386EBF" w14:textId="77777777" w:rsidTr="00CE2960">
        <w:tc>
          <w:tcPr>
            <w:tcW w:w="1755" w:type="dxa"/>
            <w:tcBorders>
              <w:left w:val="single" w:sz="8" w:space="0" w:color="000000"/>
              <w:bottom w:val="single" w:sz="8" w:space="0" w:color="000000"/>
            </w:tcBorders>
            <w:shd w:val="clear" w:color="auto" w:fill="auto"/>
          </w:tcPr>
          <w:p w14:paraId="027FC828"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B2E5EA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CF20862" w14:textId="77777777" w:rsidR="00171603" w:rsidRPr="008B1622" w:rsidRDefault="00171603" w:rsidP="00CE2960">
            <w:pPr>
              <w:pStyle w:val="TableContents"/>
            </w:pPr>
          </w:p>
        </w:tc>
      </w:tr>
    </w:tbl>
    <w:p w14:paraId="0BFD5262" w14:textId="77777777" w:rsidR="00171603" w:rsidRDefault="00171603" w:rsidP="0005793E">
      <w:pPr>
        <w:rPr>
          <w:lang w:eastAsia="en-GB"/>
        </w:rPr>
      </w:pPr>
    </w:p>
    <w:sectPr w:rsidR="00171603" w:rsidSect="002232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4813" w14:textId="77777777" w:rsidR="007B69AC" w:rsidRDefault="007B69AC" w:rsidP="00C121CA">
      <w:pPr>
        <w:spacing w:after="0" w:line="240" w:lineRule="auto"/>
      </w:pPr>
      <w:r>
        <w:separator/>
      </w:r>
    </w:p>
  </w:endnote>
  <w:endnote w:type="continuationSeparator" w:id="0">
    <w:p w14:paraId="600D0BA4" w14:textId="77777777" w:rsidR="007B69AC" w:rsidRDefault="007B69AC" w:rsidP="00C1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6F426" w14:textId="77777777" w:rsidR="007B69AC" w:rsidRDefault="007B69AC" w:rsidP="00C121CA">
      <w:pPr>
        <w:spacing w:after="0" w:line="240" w:lineRule="auto"/>
      </w:pPr>
      <w:r>
        <w:separator/>
      </w:r>
    </w:p>
  </w:footnote>
  <w:footnote w:type="continuationSeparator" w:id="0">
    <w:p w14:paraId="66508F09" w14:textId="77777777" w:rsidR="007B69AC" w:rsidRDefault="007B69AC" w:rsidP="00C12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F43618"/>
    <w:multiLevelType w:val="hybridMultilevel"/>
    <w:tmpl w:val="1E2CC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91D3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C69FF"/>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27CF7"/>
    <w:multiLevelType w:val="hybridMultilevel"/>
    <w:tmpl w:val="E4E4A452"/>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627A5"/>
    <w:multiLevelType w:val="hybridMultilevel"/>
    <w:tmpl w:val="3BD6D7FE"/>
    <w:lvl w:ilvl="0" w:tplc="00000002">
      <w:start w:val="1"/>
      <w:numFmt w:val="bullet"/>
      <w:lvlText w:val=""/>
      <w:lvlJc w:val="left"/>
      <w:pPr>
        <w:ind w:left="1800" w:hanging="360"/>
      </w:pPr>
      <w:rPr>
        <w:rFonts w:ascii="Wingdings" w:hAnsi="Wingdings" w:cs="OpenSymbol" w:hint="default"/>
        <w:color w:val="009900"/>
        <w:sz w:val="24"/>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C0C793B"/>
    <w:multiLevelType w:val="hybridMultilevel"/>
    <w:tmpl w:val="DF740E68"/>
    <w:lvl w:ilvl="0" w:tplc="F94A2B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83A57"/>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B01B3"/>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22189"/>
    <w:multiLevelType w:val="hybridMultilevel"/>
    <w:tmpl w:val="447A7DB8"/>
    <w:lvl w:ilvl="0" w:tplc="9782C1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86D5D8D"/>
    <w:multiLevelType w:val="hybridMultilevel"/>
    <w:tmpl w:val="64523544"/>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C46E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7"/>
  </w:num>
  <w:num w:numId="5">
    <w:abstractNumId w:val="8"/>
  </w:num>
  <w:num w:numId="6">
    <w:abstractNumId w:val="11"/>
  </w:num>
  <w:num w:numId="7">
    <w:abstractNumId w:val="3"/>
  </w:num>
  <w:num w:numId="8">
    <w:abstractNumId w:val="6"/>
  </w:num>
  <w:num w:numId="9">
    <w:abstractNumId w:val="4"/>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7"/>
    <w:rsid w:val="0005793E"/>
    <w:rsid w:val="000B4381"/>
    <w:rsid w:val="000F6AF6"/>
    <w:rsid w:val="00171603"/>
    <w:rsid w:val="002157D8"/>
    <w:rsid w:val="002232E5"/>
    <w:rsid w:val="00292329"/>
    <w:rsid w:val="00506698"/>
    <w:rsid w:val="007B69AC"/>
    <w:rsid w:val="008C6F57"/>
    <w:rsid w:val="00940E4D"/>
    <w:rsid w:val="00BC6B6B"/>
    <w:rsid w:val="00C121CA"/>
    <w:rsid w:val="00C3750D"/>
    <w:rsid w:val="00C45082"/>
    <w:rsid w:val="00C9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19D"/>
  <w15:chartTrackingRefBased/>
  <w15:docId w15:val="{65586619-D154-405B-A4E1-74A9D1DB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82"/>
  </w:style>
  <w:style w:type="paragraph" w:styleId="Heading1">
    <w:name w:val="heading 1"/>
    <w:basedOn w:val="Normal"/>
    <w:next w:val="BodyText"/>
    <w:link w:val="Heading1Char"/>
    <w:qFormat/>
    <w:rsid w:val="008C6F57"/>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8C6F57"/>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8C6F57"/>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F57"/>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8C6F57"/>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8C6F57"/>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8C6F57"/>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8C6F57"/>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semiHidden/>
    <w:unhideWhenUsed/>
    <w:rsid w:val="008C6F57"/>
    <w:pPr>
      <w:spacing w:after="120"/>
    </w:pPr>
  </w:style>
  <w:style w:type="character" w:customStyle="1" w:styleId="BodyTextChar">
    <w:name w:val="Body Text Char"/>
    <w:basedOn w:val="DefaultParagraphFont"/>
    <w:link w:val="BodyText"/>
    <w:uiPriority w:val="99"/>
    <w:semiHidden/>
    <w:rsid w:val="008C6F57"/>
  </w:style>
  <w:style w:type="paragraph" w:styleId="ListParagraph">
    <w:name w:val="List Paragraph"/>
    <w:basedOn w:val="Normal"/>
    <w:uiPriority w:val="34"/>
    <w:qFormat/>
    <w:rsid w:val="008C6F57"/>
    <w:pPr>
      <w:ind w:left="720"/>
      <w:contextualSpacing/>
    </w:pPr>
  </w:style>
  <w:style w:type="paragraph" w:customStyle="1" w:styleId="Heading">
    <w:name w:val="Heading"/>
    <w:basedOn w:val="Normal"/>
    <w:next w:val="BodyText"/>
    <w:rsid w:val="00171603"/>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171603"/>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171603"/>
    <w:pPr>
      <w:suppressAutoHyphens/>
      <w:spacing w:before="28" w:after="28" w:line="240" w:lineRule="auto"/>
    </w:pPr>
    <w:rPr>
      <w:rFonts w:ascii="Arial" w:eastAsia="Arial Unicode MS" w:hAnsi="Arial" w:cs="Arial"/>
      <w:kern w:val="1"/>
      <w:szCs w:val="24"/>
      <w:lang w:eastAsia="en-GB"/>
    </w:rPr>
  </w:style>
  <w:style w:type="paragraph" w:styleId="Header">
    <w:name w:val="header"/>
    <w:basedOn w:val="Normal"/>
    <w:link w:val="HeaderChar"/>
    <w:uiPriority w:val="99"/>
    <w:unhideWhenUsed/>
    <w:rsid w:val="00C12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1CA"/>
  </w:style>
  <w:style w:type="paragraph" w:styleId="Footer">
    <w:name w:val="footer"/>
    <w:basedOn w:val="Normal"/>
    <w:link w:val="FooterChar"/>
    <w:uiPriority w:val="99"/>
    <w:unhideWhenUsed/>
    <w:rsid w:val="00C12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1CA"/>
  </w:style>
  <w:style w:type="paragraph" w:styleId="BalloonText">
    <w:name w:val="Balloon Text"/>
    <w:basedOn w:val="Normal"/>
    <w:link w:val="BalloonTextChar"/>
    <w:uiPriority w:val="99"/>
    <w:semiHidden/>
    <w:unhideWhenUsed/>
    <w:rsid w:val="000B4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5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isfieldmemorialhal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0248-CDA4-4397-B883-A93FFCEE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2020-08-31T11:43:00Z</cp:lastPrinted>
  <dcterms:created xsi:type="dcterms:W3CDTF">2021-03-08T08:41:00Z</dcterms:created>
  <dcterms:modified xsi:type="dcterms:W3CDTF">2021-03-08T08:41:00Z</dcterms:modified>
</cp:coreProperties>
</file>